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10811685"/>
        <w:docPartObj>
          <w:docPartGallery w:val="Cover Pages"/>
          <w:docPartUnique/>
        </w:docPartObj>
      </w:sdtPr>
      <w:sdtEndPr>
        <w:rPr>
          <w:b/>
          <w:sz w:val="36"/>
        </w:rPr>
      </w:sdtEndPr>
      <w:sdtContent>
        <w:p w14:paraId="550E4DA9" w14:textId="0A509207" w:rsidR="003F428E" w:rsidRDefault="003F428E"/>
        <w:p w14:paraId="66A538DB" w14:textId="77777777" w:rsidR="00942EFF" w:rsidRPr="003F428E" w:rsidRDefault="006C604C" w:rsidP="006C604C">
          <w:pPr>
            <w:pStyle w:val="Title"/>
            <w:spacing w:before="3120"/>
          </w:pPr>
          <w:sdt>
            <w:sdtPr>
              <w:alias w:val="Title"/>
              <w:tag w:val=""/>
              <w:id w:val="-955713530"/>
              <w:dataBinding w:prefixMappings="xmlns:ns0='http://purl.org/dc/elements/1.1/' xmlns:ns1='http://schemas.openxmlformats.org/package/2006/metadata/core-properties' " w:xpath="/ns1:coreProperties[1]/ns0:title[1]" w:storeItemID="{6C3C8BC8-F283-45AE-878A-BAB7291924A1}"/>
              <w:text/>
            </w:sdtPr>
            <w:sdtEndPr/>
            <w:sdtContent>
              <w:r w:rsidR="00942EFF">
                <w:t>Emergency Preparedness Survey: Pennsylvanians with Disabilities and Access and Functional Needs</w:t>
              </w:r>
            </w:sdtContent>
          </w:sdt>
        </w:p>
        <w:sdt>
          <w:sdtPr>
            <w:rPr>
              <w:sz w:val="24"/>
              <w:szCs w:val="24"/>
            </w:rPr>
            <w:alias w:val="Author"/>
            <w:tag w:val=""/>
            <w:id w:val="1541392789"/>
            <w:dataBinding w:prefixMappings="xmlns:ns0='http://purl.org/dc/elements/1.1/' xmlns:ns1='http://schemas.openxmlformats.org/package/2006/metadata/core-properties' " w:xpath="/ns1:coreProperties[1]/ns0:creator[1]" w:storeItemID="{6C3C8BC8-F283-45AE-878A-BAB7291924A1}"/>
            <w:text/>
          </w:sdtPr>
          <w:sdtEndPr/>
          <w:sdtContent>
            <w:p w14:paraId="6B832929" w14:textId="77777777" w:rsidR="00942EFF" w:rsidRDefault="00942EFF" w:rsidP="00942EFF">
              <w:pPr>
                <w:pStyle w:val="NoSpacing"/>
                <w:spacing w:before="80" w:after="40"/>
                <w:jc w:val="center"/>
                <w:rPr>
                  <w:sz w:val="24"/>
                  <w:szCs w:val="24"/>
                </w:rPr>
              </w:pPr>
              <w:r>
                <w:rPr>
                  <w:sz w:val="24"/>
                  <w:szCs w:val="24"/>
                </w:rPr>
                <w:t>Institute on Disabilities, Temple University</w:t>
              </w:r>
            </w:p>
          </w:sdtContent>
        </w:sdt>
        <w:p w14:paraId="21CEF08C" w14:textId="77777777" w:rsidR="00942EFF" w:rsidRPr="0097258F" w:rsidRDefault="00942EFF" w:rsidP="00942EFF">
          <w:pPr>
            <w:pStyle w:val="NoSpacing"/>
            <w:spacing w:before="80" w:after="40"/>
            <w:jc w:val="center"/>
            <w:rPr>
              <w:i/>
              <w:sz w:val="24"/>
              <w:szCs w:val="24"/>
            </w:rPr>
          </w:pPr>
          <w:r w:rsidRPr="0097258F">
            <w:rPr>
              <w:i/>
              <w:sz w:val="24"/>
              <w:szCs w:val="24"/>
            </w:rPr>
            <w:t>August, 2016</w:t>
          </w:r>
        </w:p>
        <w:p w14:paraId="1AEEFF02" w14:textId="77777777" w:rsidR="00942EFF" w:rsidRDefault="00942EFF" w:rsidP="00942EFF">
          <w:pPr>
            <w:pStyle w:val="NoSpacing"/>
            <w:spacing w:before="80" w:after="40"/>
            <w:jc w:val="center"/>
            <w:rPr>
              <w:sz w:val="24"/>
              <w:szCs w:val="24"/>
            </w:rPr>
          </w:pPr>
          <w:r>
            <w:rPr>
              <w:sz w:val="24"/>
              <w:szCs w:val="24"/>
            </w:rPr>
            <w:t>Kevin Donley</w:t>
          </w:r>
        </w:p>
        <w:p w14:paraId="5DB9A287" w14:textId="77777777" w:rsidR="00942EFF" w:rsidRDefault="00942EFF" w:rsidP="00942EFF">
          <w:pPr>
            <w:pStyle w:val="NoSpacing"/>
            <w:spacing w:before="80" w:after="40"/>
            <w:jc w:val="center"/>
            <w:rPr>
              <w:sz w:val="24"/>
              <w:szCs w:val="24"/>
            </w:rPr>
          </w:pPr>
          <w:r>
            <w:rPr>
              <w:sz w:val="24"/>
              <w:szCs w:val="24"/>
            </w:rPr>
            <w:t xml:space="preserve">Jamie </w:t>
          </w:r>
          <w:proofErr w:type="spellStart"/>
          <w:r>
            <w:rPr>
              <w:sz w:val="24"/>
              <w:szCs w:val="24"/>
            </w:rPr>
            <w:t>Arasz</w:t>
          </w:r>
          <w:proofErr w:type="spellEnd"/>
          <w:r>
            <w:rPr>
              <w:sz w:val="24"/>
              <w:szCs w:val="24"/>
            </w:rPr>
            <w:t xml:space="preserve"> </w:t>
          </w:r>
          <w:proofErr w:type="spellStart"/>
          <w:r>
            <w:rPr>
              <w:sz w:val="24"/>
              <w:szCs w:val="24"/>
            </w:rPr>
            <w:t>Prioli</w:t>
          </w:r>
          <w:proofErr w:type="spellEnd"/>
        </w:p>
        <w:p w14:paraId="359CF4BA" w14:textId="77777777" w:rsidR="00942EFF" w:rsidRDefault="00942EFF" w:rsidP="00942EFF">
          <w:pPr>
            <w:pStyle w:val="NoSpacing"/>
            <w:spacing w:before="80" w:after="40"/>
            <w:jc w:val="center"/>
            <w:rPr>
              <w:sz w:val="24"/>
              <w:szCs w:val="24"/>
            </w:rPr>
          </w:pPr>
          <w:r>
            <w:rPr>
              <w:sz w:val="24"/>
              <w:szCs w:val="24"/>
            </w:rPr>
            <w:t>Amy Goldman</w:t>
          </w:r>
        </w:p>
        <w:p w14:paraId="48251CCD" w14:textId="097E0258" w:rsidR="003F428E" w:rsidRDefault="00942EFF" w:rsidP="00942EFF">
          <w:pPr>
            <w:jc w:val="center"/>
            <w:rPr>
              <w:rFonts w:asciiTheme="majorHAnsi" w:eastAsiaTheme="majorEastAsia" w:hAnsiTheme="majorHAnsi" w:cstheme="majorBidi"/>
              <w:b/>
              <w:sz w:val="36"/>
              <w:szCs w:val="32"/>
            </w:rPr>
          </w:pPr>
          <w:r>
            <w:rPr>
              <w:szCs w:val="24"/>
            </w:rPr>
            <w:t>Sally Gould-Taylor</w:t>
          </w:r>
          <w:r w:rsidR="003F428E">
            <w:rPr>
              <w:b/>
              <w:sz w:val="36"/>
            </w:rPr>
            <w:br w:type="page"/>
          </w:r>
        </w:p>
      </w:sdtContent>
    </w:sdt>
    <w:sdt>
      <w:sdtPr>
        <w:rPr>
          <w:rFonts w:asciiTheme="minorHAnsi" w:eastAsiaTheme="minorHAnsi" w:hAnsiTheme="minorHAnsi" w:cstheme="minorBidi"/>
          <w:b/>
          <w:noProof/>
          <w:sz w:val="24"/>
          <w:szCs w:val="22"/>
        </w:rPr>
        <w:id w:val="684099971"/>
        <w:docPartObj>
          <w:docPartGallery w:val="Table of Contents"/>
          <w:docPartUnique/>
        </w:docPartObj>
      </w:sdtPr>
      <w:sdtEndPr>
        <w:rPr>
          <w:bCs/>
        </w:rPr>
      </w:sdtEndPr>
      <w:sdtContent>
        <w:p w14:paraId="5EE55126" w14:textId="6044BD75" w:rsidR="00B25C95" w:rsidRDefault="00B25C95">
          <w:pPr>
            <w:pStyle w:val="TOCHeading"/>
          </w:pPr>
          <w:r>
            <w:t>Table of Contents</w:t>
          </w:r>
        </w:p>
        <w:p w14:paraId="143E13FA" w14:textId="77777777" w:rsidR="00D65E74" w:rsidRDefault="00B25C95">
          <w:pPr>
            <w:pStyle w:val="TOC1"/>
            <w:rPr>
              <w:rFonts w:eastAsiaTheme="minorEastAsia"/>
              <w:b w:val="0"/>
              <w:sz w:val="22"/>
            </w:rPr>
          </w:pPr>
          <w:r>
            <w:fldChar w:fldCharType="begin"/>
          </w:r>
          <w:r>
            <w:instrText xml:space="preserve"> TOC \o "1-3" \h \z \u </w:instrText>
          </w:r>
          <w:r>
            <w:fldChar w:fldCharType="separate"/>
          </w:r>
          <w:hyperlink w:anchor="_Toc461612404" w:history="1">
            <w:r w:rsidR="00D65E74" w:rsidRPr="00DE2E5C">
              <w:rPr>
                <w:rStyle w:val="Hyperlink"/>
              </w:rPr>
              <w:t>Abstract</w:t>
            </w:r>
            <w:r w:rsidR="00D65E74">
              <w:rPr>
                <w:webHidden/>
              </w:rPr>
              <w:tab/>
            </w:r>
            <w:r w:rsidR="00D65E74">
              <w:rPr>
                <w:webHidden/>
              </w:rPr>
              <w:fldChar w:fldCharType="begin"/>
            </w:r>
            <w:r w:rsidR="00D65E74">
              <w:rPr>
                <w:webHidden/>
              </w:rPr>
              <w:instrText xml:space="preserve"> PAGEREF _Toc461612404 \h </w:instrText>
            </w:r>
            <w:r w:rsidR="00D65E74">
              <w:rPr>
                <w:webHidden/>
              </w:rPr>
            </w:r>
            <w:r w:rsidR="00D65E74">
              <w:rPr>
                <w:webHidden/>
              </w:rPr>
              <w:fldChar w:fldCharType="separate"/>
            </w:r>
            <w:r w:rsidR="00D65E74">
              <w:rPr>
                <w:webHidden/>
              </w:rPr>
              <w:t>2</w:t>
            </w:r>
            <w:r w:rsidR="00D65E74">
              <w:rPr>
                <w:webHidden/>
              </w:rPr>
              <w:fldChar w:fldCharType="end"/>
            </w:r>
          </w:hyperlink>
        </w:p>
        <w:p w14:paraId="2C910FA6" w14:textId="77777777" w:rsidR="00D65E74" w:rsidRDefault="00D65E74">
          <w:pPr>
            <w:pStyle w:val="TOC1"/>
            <w:rPr>
              <w:rFonts w:eastAsiaTheme="minorEastAsia"/>
              <w:b w:val="0"/>
              <w:sz w:val="22"/>
            </w:rPr>
          </w:pPr>
          <w:hyperlink w:anchor="_Toc461612405" w:history="1">
            <w:r w:rsidRPr="00DE2E5C">
              <w:rPr>
                <w:rStyle w:val="Hyperlink"/>
              </w:rPr>
              <w:t>Introduction</w:t>
            </w:r>
            <w:r>
              <w:rPr>
                <w:webHidden/>
              </w:rPr>
              <w:tab/>
            </w:r>
            <w:r>
              <w:rPr>
                <w:webHidden/>
              </w:rPr>
              <w:fldChar w:fldCharType="begin"/>
            </w:r>
            <w:r>
              <w:rPr>
                <w:webHidden/>
              </w:rPr>
              <w:instrText xml:space="preserve"> PAGEREF _Toc461612405 \h </w:instrText>
            </w:r>
            <w:r>
              <w:rPr>
                <w:webHidden/>
              </w:rPr>
            </w:r>
            <w:r>
              <w:rPr>
                <w:webHidden/>
              </w:rPr>
              <w:fldChar w:fldCharType="separate"/>
            </w:r>
            <w:r>
              <w:rPr>
                <w:webHidden/>
              </w:rPr>
              <w:t>3</w:t>
            </w:r>
            <w:r>
              <w:rPr>
                <w:webHidden/>
              </w:rPr>
              <w:fldChar w:fldCharType="end"/>
            </w:r>
          </w:hyperlink>
        </w:p>
        <w:p w14:paraId="54122520" w14:textId="77777777" w:rsidR="00D65E74" w:rsidRDefault="00D65E74">
          <w:pPr>
            <w:pStyle w:val="TOC1"/>
            <w:rPr>
              <w:rFonts w:eastAsiaTheme="minorEastAsia"/>
              <w:b w:val="0"/>
              <w:sz w:val="22"/>
            </w:rPr>
          </w:pPr>
          <w:hyperlink w:anchor="_Toc461612406" w:history="1">
            <w:r w:rsidRPr="00DE2E5C">
              <w:rPr>
                <w:rStyle w:val="Hyperlink"/>
              </w:rPr>
              <w:t>Demographics</w:t>
            </w:r>
            <w:r>
              <w:rPr>
                <w:webHidden/>
              </w:rPr>
              <w:tab/>
            </w:r>
            <w:r>
              <w:rPr>
                <w:webHidden/>
              </w:rPr>
              <w:fldChar w:fldCharType="begin"/>
            </w:r>
            <w:r>
              <w:rPr>
                <w:webHidden/>
              </w:rPr>
              <w:instrText xml:space="preserve"> PAGEREF _Toc461612406 \h </w:instrText>
            </w:r>
            <w:r>
              <w:rPr>
                <w:webHidden/>
              </w:rPr>
            </w:r>
            <w:r>
              <w:rPr>
                <w:webHidden/>
              </w:rPr>
              <w:fldChar w:fldCharType="separate"/>
            </w:r>
            <w:r>
              <w:rPr>
                <w:webHidden/>
              </w:rPr>
              <w:t>5</w:t>
            </w:r>
            <w:r>
              <w:rPr>
                <w:webHidden/>
              </w:rPr>
              <w:fldChar w:fldCharType="end"/>
            </w:r>
          </w:hyperlink>
        </w:p>
        <w:p w14:paraId="572723F3" w14:textId="77777777" w:rsidR="00D65E74" w:rsidRDefault="00D65E74">
          <w:pPr>
            <w:pStyle w:val="TOC1"/>
            <w:rPr>
              <w:rFonts w:eastAsiaTheme="minorEastAsia"/>
              <w:b w:val="0"/>
              <w:sz w:val="22"/>
            </w:rPr>
          </w:pPr>
          <w:hyperlink w:anchor="_Toc461612407" w:history="1">
            <w:r w:rsidRPr="00DE2E5C">
              <w:rPr>
                <w:rStyle w:val="Hyperlink"/>
              </w:rPr>
              <w:t>Emergency Knowledge and Planning</w:t>
            </w:r>
            <w:r>
              <w:rPr>
                <w:webHidden/>
              </w:rPr>
              <w:tab/>
            </w:r>
            <w:r>
              <w:rPr>
                <w:webHidden/>
              </w:rPr>
              <w:fldChar w:fldCharType="begin"/>
            </w:r>
            <w:r>
              <w:rPr>
                <w:webHidden/>
              </w:rPr>
              <w:instrText xml:space="preserve"> PAGEREF _Toc461612407 \h </w:instrText>
            </w:r>
            <w:r>
              <w:rPr>
                <w:webHidden/>
              </w:rPr>
            </w:r>
            <w:r>
              <w:rPr>
                <w:webHidden/>
              </w:rPr>
              <w:fldChar w:fldCharType="separate"/>
            </w:r>
            <w:r>
              <w:rPr>
                <w:webHidden/>
              </w:rPr>
              <w:t>13</w:t>
            </w:r>
            <w:r>
              <w:rPr>
                <w:webHidden/>
              </w:rPr>
              <w:fldChar w:fldCharType="end"/>
            </w:r>
          </w:hyperlink>
        </w:p>
        <w:p w14:paraId="139B0DA0" w14:textId="77777777" w:rsidR="00D65E74" w:rsidRDefault="00D65E74">
          <w:pPr>
            <w:pStyle w:val="TOC2"/>
            <w:rPr>
              <w:rFonts w:eastAsiaTheme="minorEastAsia"/>
              <w:b w:val="0"/>
              <w:sz w:val="22"/>
            </w:rPr>
          </w:pPr>
          <w:hyperlink w:anchor="_Toc461612408" w:history="1">
            <w:r w:rsidRPr="00DE2E5C">
              <w:rPr>
                <w:rStyle w:val="Hyperlink"/>
              </w:rPr>
              <w:t>Discussion</w:t>
            </w:r>
            <w:r>
              <w:rPr>
                <w:webHidden/>
              </w:rPr>
              <w:tab/>
            </w:r>
            <w:r>
              <w:rPr>
                <w:webHidden/>
              </w:rPr>
              <w:fldChar w:fldCharType="begin"/>
            </w:r>
            <w:r>
              <w:rPr>
                <w:webHidden/>
              </w:rPr>
              <w:instrText xml:space="preserve"> PAGEREF _Toc461612408 \h </w:instrText>
            </w:r>
            <w:r>
              <w:rPr>
                <w:webHidden/>
              </w:rPr>
            </w:r>
            <w:r>
              <w:rPr>
                <w:webHidden/>
              </w:rPr>
              <w:fldChar w:fldCharType="separate"/>
            </w:r>
            <w:r>
              <w:rPr>
                <w:webHidden/>
              </w:rPr>
              <w:t>20</w:t>
            </w:r>
            <w:r>
              <w:rPr>
                <w:webHidden/>
              </w:rPr>
              <w:fldChar w:fldCharType="end"/>
            </w:r>
          </w:hyperlink>
        </w:p>
        <w:p w14:paraId="3E667FA1" w14:textId="77777777" w:rsidR="00D65E74" w:rsidRDefault="00D65E74">
          <w:pPr>
            <w:pStyle w:val="TOC3"/>
            <w:tabs>
              <w:tab w:val="right" w:leader="dot" w:pos="9350"/>
            </w:tabs>
            <w:rPr>
              <w:rFonts w:eastAsiaTheme="minorEastAsia"/>
              <w:noProof/>
              <w:sz w:val="22"/>
            </w:rPr>
          </w:pPr>
          <w:hyperlink w:anchor="_Toc461612409" w:history="1">
            <w:r w:rsidRPr="00DE2E5C">
              <w:rPr>
                <w:rStyle w:val="Hyperlink"/>
                <w:noProof/>
              </w:rPr>
              <w:t>Finding 1: Limited notification of needs to local authorities</w:t>
            </w:r>
            <w:r>
              <w:rPr>
                <w:noProof/>
                <w:webHidden/>
              </w:rPr>
              <w:tab/>
            </w:r>
            <w:r>
              <w:rPr>
                <w:noProof/>
                <w:webHidden/>
              </w:rPr>
              <w:fldChar w:fldCharType="begin"/>
            </w:r>
            <w:r>
              <w:rPr>
                <w:noProof/>
                <w:webHidden/>
              </w:rPr>
              <w:instrText xml:space="preserve"> PAGEREF _Toc461612409 \h </w:instrText>
            </w:r>
            <w:r>
              <w:rPr>
                <w:noProof/>
                <w:webHidden/>
              </w:rPr>
            </w:r>
            <w:r>
              <w:rPr>
                <w:noProof/>
                <w:webHidden/>
              </w:rPr>
              <w:fldChar w:fldCharType="separate"/>
            </w:r>
            <w:r>
              <w:rPr>
                <w:noProof/>
                <w:webHidden/>
              </w:rPr>
              <w:t>20</w:t>
            </w:r>
            <w:r>
              <w:rPr>
                <w:noProof/>
                <w:webHidden/>
              </w:rPr>
              <w:fldChar w:fldCharType="end"/>
            </w:r>
          </w:hyperlink>
        </w:p>
        <w:p w14:paraId="7D3B086B" w14:textId="77777777" w:rsidR="00D65E74" w:rsidRDefault="00D65E74">
          <w:pPr>
            <w:pStyle w:val="TOC3"/>
            <w:tabs>
              <w:tab w:val="right" w:leader="dot" w:pos="9350"/>
            </w:tabs>
            <w:rPr>
              <w:rFonts w:eastAsiaTheme="minorEastAsia"/>
              <w:noProof/>
              <w:sz w:val="22"/>
            </w:rPr>
          </w:pPr>
          <w:hyperlink w:anchor="_Toc461612410" w:history="1">
            <w:r w:rsidRPr="00DE2E5C">
              <w:rPr>
                <w:rStyle w:val="Hyperlink"/>
                <w:noProof/>
              </w:rPr>
              <w:t>Finding 2: Few people with emergency plans</w:t>
            </w:r>
            <w:r>
              <w:rPr>
                <w:noProof/>
                <w:webHidden/>
              </w:rPr>
              <w:tab/>
            </w:r>
            <w:r>
              <w:rPr>
                <w:noProof/>
                <w:webHidden/>
              </w:rPr>
              <w:fldChar w:fldCharType="begin"/>
            </w:r>
            <w:r>
              <w:rPr>
                <w:noProof/>
                <w:webHidden/>
              </w:rPr>
              <w:instrText xml:space="preserve"> PAGEREF _Toc461612410 \h </w:instrText>
            </w:r>
            <w:r>
              <w:rPr>
                <w:noProof/>
                <w:webHidden/>
              </w:rPr>
            </w:r>
            <w:r>
              <w:rPr>
                <w:noProof/>
                <w:webHidden/>
              </w:rPr>
              <w:fldChar w:fldCharType="separate"/>
            </w:r>
            <w:r>
              <w:rPr>
                <w:noProof/>
                <w:webHidden/>
              </w:rPr>
              <w:t>21</w:t>
            </w:r>
            <w:r>
              <w:rPr>
                <w:noProof/>
                <w:webHidden/>
              </w:rPr>
              <w:fldChar w:fldCharType="end"/>
            </w:r>
          </w:hyperlink>
        </w:p>
        <w:p w14:paraId="5CBEF545" w14:textId="77777777" w:rsidR="00D65E74" w:rsidRDefault="00D65E74">
          <w:pPr>
            <w:pStyle w:val="TOC3"/>
            <w:tabs>
              <w:tab w:val="right" w:leader="dot" w:pos="9350"/>
            </w:tabs>
            <w:rPr>
              <w:rFonts w:eastAsiaTheme="minorEastAsia"/>
              <w:noProof/>
              <w:sz w:val="22"/>
            </w:rPr>
          </w:pPr>
          <w:hyperlink w:anchor="_Toc461612411" w:history="1">
            <w:r w:rsidRPr="00DE2E5C">
              <w:rPr>
                <w:rStyle w:val="Hyperlink"/>
                <w:noProof/>
              </w:rPr>
              <w:t>Finding 3: Prevalence of difficulties with daily living activities</w:t>
            </w:r>
            <w:r>
              <w:rPr>
                <w:noProof/>
                <w:webHidden/>
              </w:rPr>
              <w:tab/>
            </w:r>
            <w:r>
              <w:rPr>
                <w:noProof/>
                <w:webHidden/>
              </w:rPr>
              <w:fldChar w:fldCharType="begin"/>
            </w:r>
            <w:r>
              <w:rPr>
                <w:noProof/>
                <w:webHidden/>
              </w:rPr>
              <w:instrText xml:space="preserve"> PAGEREF _Toc461612411 \h </w:instrText>
            </w:r>
            <w:r>
              <w:rPr>
                <w:noProof/>
                <w:webHidden/>
              </w:rPr>
            </w:r>
            <w:r>
              <w:rPr>
                <w:noProof/>
                <w:webHidden/>
              </w:rPr>
              <w:fldChar w:fldCharType="separate"/>
            </w:r>
            <w:r>
              <w:rPr>
                <w:noProof/>
                <w:webHidden/>
              </w:rPr>
              <w:t>22</w:t>
            </w:r>
            <w:r>
              <w:rPr>
                <w:noProof/>
                <w:webHidden/>
              </w:rPr>
              <w:fldChar w:fldCharType="end"/>
            </w:r>
          </w:hyperlink>
        </w:p>
        <w:p w14:paraId="24D43069" w14:textId="77777777" w:rsidR="00D65E74" w:rsidRDefault="00D65E74">
          <w:pPr>
            <w:pStyle w:val="TOC2"/>
            <w:rPr>
              <w:rFonts w:eastAsiaTheme="minorEastAsia"/>
              <w:b w:val="0"/>
              <w:sz w:val="22"/>
            </w:rPr>
          </w:pPr>
          <w:hyperlink w:anchor="_Toc461612412" w:history="1">
            <w:r w:rsidRPr="00DE2E5C">
              <w:rPr>
                <w:rStyle w:val="Hyperlink"/>
              </w:rPr>
              <w:t>Implications for further study</w:t>
            </w:r>
            <w:r>
              <w:rPr>
                <w:webHidden/>
              </w:rPr>
              <w:tab/>
            </w:r>
            <w:r>
              <w:rPr>
                <w:webHidden/>
              </w:rPr>
              <w:fldChar w:fldCharType="begin"/>
            </w:r>
            <w:r>
              <w:rPr>
                <w:webHidden/>
              </w:rPr>
              <w:instrText xml:space="preserve"> PAGEREF _Toc461612412 \h </w:instrText>
            </w:r>
            <w:r>
              <w:rPr>
                <w:webHidden/>
              </w:rPr>
            </w:r>
            <w:r>
              <w:rPr>
                <w:webHidden/>
              </w:rPr>
              <w:fldChar w:fldCharType="separate"/>
            </w:r>
            <w:r>
              <w:rPr>
                <w:webHidden/>
              </w:rPr>
              <w:t>24</w:t>
            </w:r>
            <w:r>
              <w:rPr>
                <w:webHidden/>
              </w:rPr>
              <w:fldChar w:fldCharType="end"/>
            </w:r>
          </w:hyperlink>
        </w:p>
        <w:p w14:paraId="7B51E589" w14:textId="77777777" w:rsidR="00D65E74" w:rsidRDefault="00D65E74">
          <w:pPr>
            <w:pStyle w:val="TOC1"/>
            <w:rPr>
              <w:rFonts w:eastAsiaTheme="minorEastAsia"/>
              <w:b w:val="0"/>
              <w:sz w:val="22"/>
            </w:rPr>
          </w:pPr>
          <w:hyperlink w:anchor="_Toc461612413" w:history="1">
            <w:r w:rsidRPr="00DE2E5C">
              <w:rPr>
                <w:rStyle w:val="Hyperlink"/>
              </w:rPr>
              <w:t>References</w:t>
            </w:r>
            <w:r>
              <w:rPr>
                <w:webHidden/>
              </w:rPr>
              <w:tab/>
            </w:r>
            <w:r>
              <w:rPr>
                <w:webHidden/>
              </w:rPr>
              <w:fldChar w:fldCharType="begin"/>
            </w:r>
            <w:r>
              <w:rPr>
                <w:webHidden/>
              </w:rPr>
              <w:instrText xml:space="preserve"> PAGEREF _Toc461612413 \h </w:instrText>
            </w:r>
            <w:r>
              <w:rPr>
                <w:webHidden/>
              </w:rPr>
            </w:r>
            <w:r>
              <w:rPr>
                <w:webHidden/>
              </w:rPr>
              <w:fldChar w:fldCharType="separate"/>
            </w:r>
            <w:r>
              <w:rPr>
                <w:webHidden/>
              </w:rPr>
              <w:t>26</w:t>
            </w:r>
            <w:r>
              <w:rPr>
                <w:webHidden/>
              </w:rPr>
              <w:fldChar w:fldCharType="end"/>
            </w:r>
          </w:hyperlink>
        </w:p>
        <w:p w14:paraId="0FDFBE38" w14:textId="77777777" w:rsidR="00D65E74" w:rsidRDefault="00D65E74">
          <w:pPr>
            <w:pStyle w:val="TOC1"/>
            <w:rPr>
              <w:rFonts w:eastAsiaTheme="minorEastAsia"/>
              <w:b w:val="0"/>
              <w:sz w:val="22"/>
            </w:rPr>
          </w:pPr>
          <w:hyperlink w:anchor="_Toc461612414" w:history="1">
            <w:r w:rsidRPr="00DE2E5C">
              <w:rPr>
                <w:rStyle w:val="Hyperlink"/>
              </w:rPr>
              <w:t>Appendix A</w:t>
            </w:r>
            <w:r>
              <w:rPr>
                <w:webHidden/>
              </w:rPr>
              <w:tab/>
            </w:r>
            <w:r>
              <w:rPr>
                <w:webHidden/>
              </w:rPr>
              <w:fldChar w:fldCharType="begin"/>
            </w:r>
            <w:r>
              <w:rPr>
                <w:webHidden/>
              </w:rPr>
              <w:instrText xml:space="preserve"> PAGEREF _Toc461612414 \h </w:instrText>
            </w:r>
            <w:r>
              <w:rPr>
                <w:webHidden/>
              </w:rPr>
            </w:r>
            <w:r>
              <w:rPr>
                <w:webHidden/>
              </w:rPr>
              <w:fldChar w:fldCharType="separate"/>
            </w:r>
            <w:r>
              <w:rPr>
                <w:webHidden/>
              </w:rPr>
              <w:t>28</w:t>
            </w:r>
            <w:r>
              <w:rPr>
                <w:webHidden/>
              </w:rPr>
              <w:fldChar w:fldCharType="end"/>
            </w:r>
          </w:hyperlink>
        </w:p>
        <w:p w14:paraId="3CFCB505" w14:textId="1A4E4671" w:rsidR="008E08D7" w:rsidRPr="005A31A4" w:rsidRDefault="00B25C95" w:rsidP="005A31A4">
          <w:pPr>
            <w:pStyle w:val="TOC1"/>
            <w:rPr>
              <w:rFonts w:eastAsiaTheme="minorEastAsia"/>
              <w:b w:val="0"/>
              <w:sz w:val="22"/>
            </w:rPr>
          </w:pPr>
          <w:r>
            <w:rPr>
              <w:b w:val="0"/>
              <w:bCs/>
            </w:rPr>
            <w:fldChar w:fldCharType="end"/>
          </w:r>
        </w:p>
      </w:sdtContent>
    </w:sdt>
    <w:p w14:paraId="7404787B" w14:textId="7EB33B73" w:rsidR="00B25C95" w:rsidRDefault="00B25C95" w:rsidP="00F324F7">
      <w:pPr>
        <w:pStyle w:val="Heading1"/>
      </w:pPr>
      <w:bookmarkStart w:id="0" w:name="_GoBack"/>
      <w:bookmarkEnd w:id="0"/>
      <w:r>
        <w:br w:type="page"/>
      </w:r>
    </w:p>
    <w:p w14:paraId="3BD94FA8" w14:textId="5EA21D13" w:rsidR="006D5493" w:rsidRDefault="009B0A75" w:rsidP="003F428E">
      <w:pPr>
        <w:pStyle w:val="Heading1"/>
      </w:pPr>
      <w:bookmarkStart w:id="1" w:name="_Toc461612404"/>
      <w:r>
        <w:lastRenderedPageBreak/>
        <w:t>Abstract</w:t>
      </w:r>
      <w:bookmarkEnd w:id="1"/>
    </w:p>
    <w:p w14:paraId="5B83927C" w14:textId="6F113602" w:rsidR="00130EC8" w:rsidRDefault="004F5CC0">
      <w:r>
        <w:t>Th</w:t>
      </w:r>
      <w:r w:rsidR="008C2036">
        <w:t>e Institute on Disabilities (IOD) at Temple University</w:t>
      </w:r>
      <w:r w:rsidR="000D7A6E">
        <w:t>, Pennsylvania’s University Center of Excellence in Developmental Disabilities,</w:t>
      </w:r>
      <w:r w:rsidR="008C2036">
        <w:t xml:space="preserve"> developed an online survey of emergency preparedness specifically designed for </w:t>
      </w:r>
      <w:r w:rsidR="000D7A6E">
        <w:t>Pennsylvania</w:t>
      </w:r>
      <w:r w:rsidR="00530CA4">
        <w:t>ns</w:t>
      </w:r>
      <w:r w:rsidR="00130EC8">
        <w:t xml:space="preserve"> </w:t>
      </w:r>
      <w:r w:rsidR="008C2036">
        <w:t xml:space="preserve">who have </w:t>
      </w:r>
      <w:r w:rsidR="00820EDE">
        <w:t xml:space="preserve">disabilities and other </w:t>
      </w:r>
      <w:r w:rsidR="008C2036">
        <w:t xml:space="preserve">access and functional needs </w:t>
      </w:r>
      <w:r w:rsidR="00301B61">
        <w:t>in order to inform</w:t>
      </w:r>
      <w:r w:rsidR="008C2036">
        <w:t xml:space="preserve"> </w:t>
      </w:r>
      <w:r w:rsidR="009B0A75">
        <w:t xml:space="preserve">emergency planning </w:t>
      </w:r>
      <w:r w:rsidR="000D7A6E">
        <w:t>in the Commonwealth</w:t>
      </w:r>
      <w:r w:rsidR="009B0A75">
        <w:t>.</w:t>
      </w:r>
      <w:r w:rsidR="008C2036">
        <w:t xml:space="preserve"> The sur</w:t>
      </w:r>
      <w:r w:rsidR="00301B61">
        <w:t>vey</w:t>
      </w:r>
      <w:r w:rsidR="000D7A6E">
        <w:t xml:space="preserve">, funded by the PA Department of Health, </w:t>
      </w:r>
      <w:r w:rsidR="00301B61">
        <w:t xml:space="preserve">was distributed through </w:t>
      </w:r>
      <w:r>
        <w:t xml:space="preserve">various </w:t>
      </w:r>
      <w:r w:rsidR="006C3A30">
        <w:t xml:space="preserve">electronic </w:t>
      </w:r>
      <w:r w:rsidR="00301B61">
        <w:t>networks and was open for the month of March, 201</w:t>
      </w:r>
      <w:r w:rsidR="00BD7FC1">
        <w:t>6</w:t>
      </w:r>
      <w:r w:rsidR="00301B61">
        <w:t>. N</w:t>
      </w:r>
      <w:r w:rsidR="008C2036">
        <w:t xml:space="preserve">early 400 people </w:t>
      </w:r>
      <w:r w:rsidR="007B5FA9">
        <w:t xml:space="preserve">responded to </w:t>
      </w:r>
      <w:r w:rsidR="008C2036">
        <w:t xml:space="preserve">the survey, </w:t>
      </w:r>
      <w:r w:rsidR="00522E29">
        <w:t xml:space="preserve">of </w:t>
      </w:r>
      <w:r w:rsidR="00631C9B">
        <w:t xml:space="preserve">whom </w:t>
      </w:r>
      <w:r w:rsidR="00522E29">
        <w:t>approximately one-fourth</w:t>
      </w:r>
      <w:r w:rsidR="008C2036">
        <w:t xml:space="preserve"> indicated that they were a person with a disability</w:t>
      </w:r>
      <w:r w:rsidR="00820EDE">
        <w:t xml:space="preserve"> or other access and functional needs</w:t>
      </w:r>
      <w:r w:rsidR="00522E29">
        <w:t>, while the remaining respondents</w:t>
      </w:r>
      <w:r w:rsidR="00087256">
        <w:t xml:space="preserve"> indicated they were support personnel, fam</w:t>
      </w:r>
      <w:r w:rsidR="00905336">
        <w:t xml:space="preserve">ily members, or advocates for </w:t>
      </w:r>
      <w:r w:rsidR="00522E29">
        <w:t>people with disabilities</w:t>
      </w:r>
      <w:r w:rsidR="00820EDE">
        <w:t xml:space="preserve"> or access and functional needs</w:t>
      </w:r>
      <w:r w:rsidR="008C2036">
        <w:t>. Demographic q</w:t>
      </w:r>
      <w:r w:rsidR="00301B61">
        <w:t>uestions</w:t>
      </w:r>
      <w:r w:rsidR="006C3A30">
        <w:t xml:space="preserve"> asked</w:t>
      </w:r>
      <w:r w:rsidR="00301B61">
        <w:t xml:space="preserve"> about</w:t>
      </w:r>
      <w:r w:rsidR="00397412">
        <w:t xml:space="preserve"> the nature of respondents’ access and functional needs, living arrangements, and types of assistive technology used</w:t>
      </w:r>
      <w:r w:rsidR="006C3A30">
        <w:t xml:space="preserve">. </w:t>
      </w:r>
      <w:r>
        <w:t>Focused</w:t>
      </w:r>
      <w:r w:rsidR="006C3A30">
        <w:t xml:space="preserve"> questions asked respondents about their knowledge of emergency terminology </w:t>
      </w:r>
      <w:r>
        <w:t xml:space="preserve">and </w:t>
      </w:r>
      <w:r w:rsidR="006C3A30">
        <w:t xml:space="preserve">levels of </w:t>
      </w:r>
      <w:r>
        <w:t xml:space="preserve">personal </w:t>
      </w:r>
      <w:r w:rsidR="006C3A30">
        <w:t>preparedness</w:t>
      </w:r>
      <w:r>
        <w:t xml:space="preserve"> based on</w:t>
      </w:r>
      <w:r w:rsidR="00A82DD1">
        <w:t xml:space="preserve"> components of</w:t>
      </w:r>
      <w:r w:rsidR="006C3A30">
        <w:t xml:space="preserve"> </w:t>
      </w:r>
      <w:r w:rsidR="00087256">
        <w:t xml:space="preserve">best practices in </w:t>
      </w:r>
      <w:r w:rsidR="006C3A30">
        <w:t>emergency planning</w:t>
      </w:r>
      <w:r w:rsidR="005030E2">
        <w:t xml:space="preserve"> (</w:t>
      </w:r>
      <w:r w:rsidR="00D930FD">
        <w:t>American National Red Cross, 2016</w:t>
      </w:r>
      <w:r w:rsidR="005030E2">
        <w:t>)</w:t>
      </w:r>
      <w:r w:rsidR="006C3A30">
        <w:t xml:space="preserve">. </w:t>
      </w:r>
      <w:r w:rsidR="00A82DD1">
        <w:t>Key findings were that</w:t>
      </w:r>
      <w:r w:rsidR="00530CA4">
        <w:t xml:space="preserve"> </w:t>
      </w:r>
      <w:r w:rsidR="00A82DD1">
        <w:t xml:space="preserve">the majority of respondents had not informed local authorities of their </w:t>
      </w:r>
      <w:r w:rsidR="00820EDE">
        <w:t xml:space="preserve">disability or </w:t>
      </w:r>
      <w:r w:rsidR="00A82DD1">
        <w:t>access and functional needs, nor did the majority of respondents have a specific emergenc</w:t>
      </w:r>
      <w:r>
        <w:t>y plan</w:t>
      </w:r>
      <w:r w:rsidR="00905336">
        <w:t xml:space="preserve"> in place</w:t>
      </w:r>
      <w:r w:rsidR="00530CA4">
        <w:t>, and finally, that many respondents indicated needing assistance with activities of daily living</w:t>
      </w:r>
      <w:r w:rsidR="006F12FD">
        <w:t xml:space="preserve"> (</w:t>
      </w:r>
      <w:r w:rsidR="00530CA4">
        <w:t xml:space="preserve">e.g., personal care, meal preparation, </w:t>
      </w:r>
      <w:r w:rsidR="006F12FD">
        <w:t>medication administration)</w:t>
      </w:r>
      <w:r>
        <w:t>.</w:t>
      </w:r>
      <w:r w:rsidR="009B0A75">
        <w:t xml:space="preserve"> Recommendations include </w:t>
      </w:r>
      <w:r w:rsidR="00B0273F">
        <w:t xml:space="preserve">emergency shelter staff training, </w:t>
      </w:r>
      <w:r w:rsidR="00397412">
        <w:t>strategies to promote personal preparedness</w:t>
      </w:r>
      <w:r w:rsidR="00B0273F">
        <w:t>,</w:t>
      </w:r>
      <w:r w:rsidR="00397412">
        <w:t xml:space="preserve"> as well as inclusive emergency planning for the whole community.</w:t>
      </w:r>
    </w:p>
    <w:p w14:paraId="5FB8B77E" w14:textId="77777777" w:rsidR="00130EC8" w:rsidRDefault="00130EC8">
      <w:r>
        <w:br w:type="page"/>
      </w:r>
    </w:p>
    <w:p w14:paraId="2992357C" w14:textId="0C69C777" w:rsidR="002118E5" w:rsidRDefault="006D5493" w:rsidP="003F428E">
      <w:pPr>
        <w:pStyle w:val="Heading1"/>
      </w:pPr>
      <w:bookmarkStart w:id="2" w:name="_Toc461612405"/>
      <w:r>
        <w:lastRenderedPageBreak/>
        <w:t>Introduction</w:t>
      </w:r>
      <w:bookmarkEnd w:id="2"/>
    </w:p>
    <w:p w14:paraId="691A9D27" w14:textId="14055DE1" w:rsidR="006D5493" w:rsidRDefault="006D5493" w:rsidP="006D5493">
      <w:r>
        <w:t>While the term access and functional needs (AFN) applies to people with physical, sensory, mental health, cognitive</w:t>
      </w:r>
      <w:r w:rsidR="004F5CC0">
        <w:t>,</w:t>
      </w:r>
      <w:r>
        <w:t xml:space="preserve"> and/or intellectual</w:t>
      </w:r>
      <w:r w:rsidR="004F5CC0">
        <w:t xml:space="preserve"> and developmental</w:t>
      </w:r>
      <w:r>
        <w:t xml:space="preserve"> disabilities</w:t>
      </w:r>
      <w:r w:rsidR="004F5CC0">
        <w:t xml:space="preserve"> (ID/D)</w:t>
      </w:r>
      <w:r>
        <w:t xml:space="preserve"> that affect their ability</w:t>
      </w:r>
      <w:r w:rsidR="004F5CC0">
        <w:t xml:space="preserve"> to function without assistance,</w:t>
      </w:r>
      <w:r>
        <w:t xml:space="preserve"> it also is used to describe people with temporary conditions, such as women in late stages of pregnancy, individuals with injuries, people needing bariatric equipment, or people who are non-English speakers</w:t>
      </w:r>
      <w:r w:rsidR="00397412">
        <w:t xml:space="preserve"> (</w:t>
      </w:r>
      <w:r w:rsidR="00087836">
        <w:t xml:space="preserve">Office of the </w:t>
      </w:r>
      <w:r w:rsidR="007967E0">
        <w:t>Assistant Secretary for Preparedness and Response</w:t>
      </w:r>
      <w:r w:rsidR="006A0F8F">
        <w:t xml:space="preserve"> [ASPR]</w:t>
      </w:r>
      <w:r w:rsidR="007967E0">
        <w:t>, 2016</w:t>
      </w:r>
      <w:r w:rsidR="00397412">
        <w:t>)</w:t>
      </w:r>
      <w:r>
        <w:t>. As part of its work for the Pennsylvania Department of Health</w:t>
      </w:r>
      <w:r w:rsidR="00631C9B">
        <w:t xml:space="preserve"> (DOH)</w:t>
      </w:r>
      <w:r>
        <w:t>, the Institute on Disabilities</w:t>
      </w:r>
      <w:r w:rsidR="00122F3F">
        <w:t xml:space="preserve"> (IOD)</w:t>
      </w:r>
      <w:r>
        <w:t xml:space="preserve"> at Temple University conducted a survey</w:t>
      </w:r>
      <w:r w:rsidR="00122F3F">
        <w:t xml:space="preserve"> in March</w:t>
      </w:r>
      <w:r w:rsidR="000D7A6E">
        <w:t>,</w:t>
      </w:r>
      <w:r w:rsidR="00130EC8">
        <w:t xml:space="preserve"> </w:t>
      </w:r>
      <w:r w:rsidR="00122F3F">
        <w:t>2016</w:t>
      </w:r>
      <w:r>
        <w:t xml:space="preserve"> </w:t>
      </w:r>
      <w:r w:rsidR="00122F3F">
        <w:t xml:space="preserve">to inform emergency </w:t>
      </w:r>
      <w:r w:rsidR="00631C9B">
        <w:t xml:space="preserve">planners </w:t>
      </w:r>
      <w:r w:rsidR="00122F3F">
        <w:t xml:space="preserve">and related personnel of the unique needs of </w:t>
      </w:r>
      <w:r w:rsidR="000D7A6E">
        <w:t xml:space="preserve">individuals </w:t>
      </w:r>
      <w:r w:rsidR="00122F3F">
        <w:t>who have access and functional needs</w:t>
      </w:r>
      <w:r w:rsidR="00F95A3C">
        <w:t>, especially those with disabilities</w:t>
      </w:r>
      <w:r w:rsidR="00122F3F">
        <w:t xml:space="preserve">. </w:t>
      </w:r>
      <w:r w:rsidR="007967E0" w:rsidRPr="00AB7F54">
        <w:rPr>
          <w:iCs/>
        </w:rPr>
        <w:t xml:space="preserve">This </w:t>
      </w:r>
      <w:r w:rsidR="000D7A6E">
        <w:rPr>
          <w:iCs/>
        </w:rPr>
        <w:t xml:space="preserve">report </w:t>
      </w:r>
      <w:r w:rsidR="007967E0" w:rsidRPr="00AB7F54">
        <w:rPr>
          <w:iCs/>
        </w:rPr>
        <w:t>was supported by Cooperative Agreement Number 5 NU90TP000545-05-00, funded by the Centers for Disease Control and Prevention and/or Department of Health and Human Services Assistant Secretary for Preparedness and Response. Its contents are solely the responsibility of the authors and do not necessarily represent the official views of the Centers for Disease Control and Prevention or the Department of Health and Human Services.</w:t>
      </w:r>
    </w:p>
    <w:p w14:paraId="16B01089" w14:textId="2CEF41DA" w:rsidR="00301B61" w:rsidRDefault="006D5493" w:rsidP="00522E29">
      <w:r>
        <w:t xml:space="preserve">A total of 399 individuals responded to the survey, which was </w:t>
      </w:r>
      <w:r w:rsidR="00631C9B">
        <w:t xml:space="preserve">electronically </w:t>
      </w:r>
      <w:r>
        <w:t xml:space="preserve">disseminated to various disability-related </w:t>
      </w:r>
      <w:proofErr w:type="spellStart"/>
      <w:r>
        <w:t>listservs</w:t>
      </w:r>
      <w:proofErr w:type="spellEnd"/>
      <w:r>
        <w:t xml:space="preserve"> and databases by the IOD. Of the 399 respondents, 94 identified as a person with a disability; 126 respondents identified as a family member or caregiver answering on behalf of a person with a disability; 113 people identified as a support person or advocate answering on behalf of a person with a disability; and 66 individuals selected the “</w:t>
      </w:r>
      <w:r w:rsidR="00F47196">
        <w:t>o</w:t>
      </w:r>
      <w:r>
        <w:t>ther” response choice. Of the respondents who selected “</w:t>
      </w:r>
      <w:r w:rsidR="00F47196">
        <w:t>o</w:t>
      </w:r>
      <w:r>
        <w:t>ther,”</w:t>
      </w:r>
      <w:r w:rsidRPr="006B69D9">
        <w:t xml:space="preserve"> 55 indicated </w:t>
      </w:r>
      <w:r>
        <w:t xml:space="preserve">an </w:t>
      </w:r>
      <w:r w:rsidRPr="006B69D9">
        <w:t>affiliation with a professional organization</w:t>
      </w:r>
      <w:r w:rsidR="00080A36">
        <w:t xml:space="preserve"> or</w:t>
      </w:r>
      <w:r w:rsidR="009C3155">
        <w:t xml:space="preserve"> </w:t>
      </w:r>
      <w:r w:rsidRPr="006B69D9">
        <w:t>service</w:t>
      </w:r>
      <w:r w:rsidR="009C3155">
        <w:t xml:space="preserve"> </w:t>
      </w:r>
      <w:r w:rsidR="00080A36">
        <w:t xml:space="preserve">provider, including 13 who were </w:t>
      </w:r>
      <w:r w:rsidRPr="006B69D9">
        <w:t>affiliated with education, e.g., special edu</w:t>
      </w:r>
      <w:r>
        <w:t>cation teacher or administrator</w:t>
      </w:r>
      <w:r w:rsidR="00F95A3C">
        <w:t>.</w:t>
      </w:r>
      <w:r>
        <w:t xml:space="preserve"> Figure 1 depicts the distribution of respondents as percentages.</w:t>
      </w:r>
    </w:p>
    <w:p w14:paraId="1F00E569" w14:textId="77777777" w:rsidR="00522E29" w:rsidRDefault="00522E29" w:rsidP="00522E29">
      <w:pPr>
        <w:keepNext/>
        <w:jc w:val="center"/>
      </w:pPr>
      <w:r>
        <w:rPr>
          <w:noProof/>
        </w:rPr>
        <w:drawing>
          <wp:inline distT="0" distB="0" distL="0" distR="0" wp14:anchorId="6561C498" wp14:editId="21CD125D">
            <wp:extent cx="5487035" cy="2771775"/>
            <wp:effectExtent l="0" t="0" r="0" b="0"/>
            <wp:docPr id="2" name="Picture 2" descr="A pie chart is displayed and separated into four wedges corresponding to four response choices. 24% of respondents identified as a person with a disability; 32% of respondents identified as a family member or caregiver of a person with a disability; 28% of respondents identified as a support person or advocate; and 16% of respondents identified as other." title="Figure 1: Distribution of Respondents' Iden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6560" b="5716"/>
                    <a:stretch/>
                  </pic:blipFill>
                  <pic:spPr bwMode="auto">
                    <a:xfrm>
                      <a:off x="0" y="0"/>
                      <a:ext cx="5487035" cy="2771775"/>
                    </a:xfrm>
                    <a:prstGeom prst="rect">
                      <a:avLst/>
                    </a:prstGeom>
                    <a:noFill/>
                    <a:ln>
                      <a:noFill/>
                    </a:ln>
                    <a:extLst>
                      <a:ext uri="{53640926-AAD7-44D8-BBD7-CCE9431645EC}">
                        <a14:shadowObscured xmlns:a14="http://schemas.microsoft.com/office/drawing/2010/main"/>
                      </a:ext>
                    </a:extLst>
                  </pic:spPr>
                </pic:pic>
              </a:graphicData>
            </a:graphic>
          </wp:inline>
        </w:drawing>
      </w:r>
    </w:p>
    <w:p w14:paraId="090CB3C8" w14:textId="44AF8DAB" w:rsidR="007005AD" w:rsidRPr="007005AD" w:rsidRDefault="00522E29" w:rsidP="007005AD">
      <w:pPr>
        <w:pStyle w:val="Caption"/>
        <w:jc w:val="center"/>
      </w:pPr>
      <w:r w:rsidRPr="007005AD">
        <w:t xml:space="preserve">Figure </w:t>
      </w:r>
      <w:r w:rsidR="006C604C">
        <w:fldChar w:fldCharType="begin"/>
      </w:r>
      <w:r w:rsidR="006C604C">
        <w:instrText xml:space="preserve"> SEQ Figure \* ARABIC </w:instrText>
      </w:r>
      <w:r w:rsidR="006C604C">
        <w:fldChar w:fldCharType="separate"/>
      </w:r>
      <w:r w:rsidR="00C40893">
        <w:rPr>
          <w:noProof/>
        </w:rPr>
        <w:t>1</w:t>
      </w:r>
      <w:r w:rsidR="006C604C">
        <w:rPr>
          <w:noProof/>
        </w:rPr>
        <w:fldChar w:fldCharType="end"/>
      </w:r>
      <w:r w:rsidR="004D00EC">
        <w:t>.</w:t>
      </w:r>
      <w:r w:rsidRPr="007005AD">
        <w:t xml:space="preserve"> </w:t>
      </w:r>
      <w:r w:rsidRPr="001C0D75">
        <w:rPr>
          <w:i w:val="0"/>
        </w:rPr>
        <w:t>Distribution of Respondents' Identification</w:t>
      </w:r>
    </w:p>
    <w:p w14:paraId="68AFE9C5" w14:textId="1C8856DA" w:rsidR="006D5493" w:rsidRDefault="006D5493" w:rsidP="007005AD">
      <w:r>
        <w:t xml:space="preserve">In order to simplify the comparative analyses, respondents who selected either “family member or caregiver of a person with a disability”, “support person or advocate”, or “other” were combined into a single group of 305 respondents. </w:t>
      </w:r>
      <w:r w:rsidR="00F95A3C">
        <w:t xml:space="preserve">Although over 300 respondents identified themselves as advocates, caregivers, or “others,” nearly half of them did not complete any </w:t>
      </w:r>
      <w:r w:rsidR="00AB7F54">
        <w:t xml:space="preserve">of the </w:t>
      </w:r>
      <w:r w:rsidR="00F95A3C">
        <w:t xml:space="preserve">remaining survey items. Results should be interpreted cautiously in light of this sampling bias. </w:t>
      </w:r>
      <w:r>
        <w:t xml:space="preserve">All subsequent narrative and graphical analyses </w:t>
      </w:r>
      <w:r w:rsidR="00EA73FC">
        <w:t>distinguished</w:t>
      </w:r>
      <w:r>
        <w:t xml:space="preserve"> people with disabilities</w:t>
      </w:r>
      <w:r w:rsidR="002118E5">
        <w:t xml:space="preserve"> (PWD)</w:t>
      </w:r>
      <w:r>
        <w:t xml:space="preserve"> from </w:t>
      </w:r>
      <w:r w:rsidR="00F467CC">
        <w:t xml:space="preserve">the </w:t>
      </w:r>
      <w:r>
        <w:t>advocates/caregivers/other (ACO)</w:t>
      </w:r>
      <w:r w:rsidR="00F467CC">
        <w:t xml:space="preserve"> category</w:t>
      </w:r>
      <w:r>
        <w:t xml:space="preserve">. The electronic survey was divided into three sections: Demographics, Emergency Knowledge, and Emergency Plan. The Demographics section was composed of nine items; the Emergency Knowledge section was composed of seven items; and the Emergency Plan section was composed of two items. If respondents indicated that they or the person they were answering for did </w:t>
      </w:r>
      <w:r>
        <w:rPr>
          <w:i/>
        </w:rPr>
        <w:t xml:space="preserve">not </w:t>
      </w:r>
      <w:r>
        <w:t>have an emergency plan, they were routed to the “Thank You” page at the end of the survey.</w:t>
      </w:r>
      <w:r w:rsidR="00F467CC">
        <w:t xml:space="preserve"> Respondents were also routed to the “Thank You” page if they indicated they were not a PA resident.</w:t>
      </w:r>
      <w:r>
        <w:t xml:space="preserve">  </w:t>
      </w:r>
      <w:r w:rsidR="00F467CC">
        <w:t>R</w:t>
      </w:r>
      <w:r>
        <w:t>esponse rates across survey sections and items</w:t>
      </w:r>
      <w:r w:rsidR="00F467CC">
        <w:t xml:space="preserve"> varied</w:t>
      </w:r>
      <w:r w:rsidR="00E23E6E">
        <w:t xml:space="preserve"> between respondent groups</w:t>
      </w:r>
      <w:r w:rsidR="00F467CC">
        <w:t xml:space="preserve"> </w:t>
      </w:r>
      <w:r w:rsidR="004D00EC">
        <w:t>because there</w:t>
      </w:r>
      <w:r w:rsidR="00080A36">
        <w:t xml:space="preserve"> were no questions that required an answer.</w:t>
      </w:r>
    </w:p>
    <w:p w14:paraId="681F256D" w14:textId="77777777" w:rsidR="00B0273F" w:rsidRDefault="00B0273F">
      <w:pPr>
        <w:rPr>
          <w:rFonts w:asciiTheme="majorHAnsi" w:eastAsiaTheme="majorEastAsia" w:hAnsiTheme="majorHAnsi" w:cstheme="majorBidi"/>
          <w:b/>
          <w:sz w:val="32"/>
          <w:szCs w:val="32"/>
        </w:rPr>
      </w:pPr>
      <w:r>
        <w:br w:type="page"/>
      </w:r>
    </w:p>
    <w:p w14:paraId="21173DD1" w14:textId="0EC64A5A" w:rsidR="007E75E9" w:rsidRPr="007E75E9" w:rsidRDefault="002118E5" w:rsidP="003F428E">
      <w:pPr>
        <w:pStyle w:val="Heading1"/>
      </w:pPr>
      <w:bookmarkStart w:id="3" w:name="_Toc461612406"/>
      <w:r>
        <w:t>Demographics</w:t>
      </w:r>
      <w:bookmarkEnd w:id="3"/>
    </w:p>
    <w:p w14:paraId="06DDC4BD" w14:textId="284DDD77" w:rsidR="00DD16DB" w:rsidRDefault="00A311BD" w:rsidP="00DD16DB">
      <w:pPr>
        <w:keepNext/>
      </w:pPr>
      <w:r w:rsidRPr="00A311BD">
        <w:t>The first item in the demographics section of the</w:t>
      </w:r>
      <w:r w:rsidR="004D00EC">
        <w:t xml:space="preserve"> survey</w:t>
      </w:r>
      <w:r w:rsidRPr="00A311BD">
        <w:t xml:space="preserve"> asked respondents whether they (or the person</w:t>
      </w:r>
      <w:r w:rsidR="00130EC8">
        <w:t xml:space="preserve"> </w:t>
      </w:r>
      <w:r w:rsidR="00E95D93">
        <w:t>on whose behalf they were answering)</w:t>
      </w:r>
      <w:r w:rsidRPr="00A311BD">
        <w:t xml:space="preserve"> identified as a person with a disability on the 2010 </w:t>
      </w:r>
      <w:r w:rsidR="00687E5B">
        <w:t xml:space="preserve">US </w:t>
      </w:r>
      <w:r w:rsidRPr="00A311BD">
        <w:t xml:space="preserve">Census. </w:t>
      </w:r>
      <w:r w:rsidR="004D00EC">
        <w:t xml:space="preserve">The survey included this item in order to understand respondents’ rate of disability identification to a </w:t>
      </w:r>
      <w:r w:rsidR="00F95A3C">
        <w:t>source of information commonly used by emergency planners.</w:t>
      </w:r>
      <w:r w:rsidR="00C34BBC">
        <w:t xml:space="preserve"> </w:t>
      </w:r>
      <w:r w:rsidRPr="00A311BD">
        <w:t>Figure</w:t>
      </w:r>
      <w:r>
        <w:t>s</w:t>
      </w:r>
      <w:r w:rsidRPr="00A311BD">
        <w:t xml:space="preserve"> </w:t>
      </w:r>
      <w:r w:rsidR="00080A36">
        <w:t>2</w:t>
      </w:r>
      <w:r w:rsidR="00C34BBC">
        <w:t xml:space="preserve"> </w:t>
      </w:r>
      <w:r>
        <w:t xml:space="preserve">and </w:t>
      </w:r>
      <w:r w:rsidR="00080A36">
        <w:t>3</w:t>
      </w:r>
      <w:r>
        <w:t xml:space="preserve"> show</w:t>
      </w:r>
      <w:r w:rsidRPr="00A311BD">
        <w:t xml:space="preserve"> the percentages of </w:t>
      </w:r>
      <w:r w:rsidR="00050FA1">
        <w:t>people with disabilities (</w:t>
      </w:r>
      <w:r w:rsidRPr="00A311BD">
        <w:t>PWDs</w:t>
      </w:r>
      <w:r w:rsidR="00050FA1">
        <w:t>)</w:t>
      </w:r>
      <w:r w:rsidRPr="00A311BD">
        <w:t xml:space="preserve"> and</w:t>
      </w:r>
      <w:r w:rsidR="00050FA1">
        <w:t xml:space="preserve"> </w:t>
      </w:r>
      <w:r w:rsidR="00F47196">
        <w:t>a</w:t>
      </w:r>
      <w:r w:rsidR="00050FA1">
        <w:t>dvocates/</w:t>
      </w:r>
      <w:r w:rsidR="00F47196">
        <w:t>c</w:t>
      </w:r>
      <w:r w:rsidR="00050FA1">
        <w:t>aregivers/</w:t>
      </w:r>
      <w:r w:rsidR="00F47196">
        <w:t>o</w:t>
      </w:r>
      <w:r w:rsidR="00050FA1">
        <w:t>thers</w:t>
      </w:r>
      <w:r w:rsidRPr="00A311BD">
        <w:t xml:space="preserve"> </w:t>
      </w:r>
      <w:r w:rsidR="00050FA1">
        <w:t>(</w:t>
      </w:r>
      <w:r w:rsidRPr="00A311BD">
        <w:t>ACOs</w:t>
      </w:r>
      <w:r w:rsidR="00050FA1">
        <w:t>)</w:t>
      </w:r>
      <w:r w:rsidRPr="00A311BD">
        <w:t xml:space="preserve"> who indicated either “</w:t>
      </w:r>
      <w:r w:rsidR="00AB7F54">
        <w:t>y</w:t>
      </w:r>
      <w:r w:rsidRPr="00A311BD">
        <w:t>es”, “</w:t>
      </w:r>
      <w:r w:rsidR="00AB7F54">
        <w:t>n</w:t>
      </w:r>
      <w:r w:rsidRPr="00A311BD">
        <w:t>o”, or “I don’t remember.”</w:t>
      </w:r>
    </w:p>
    <w:p w14:paraId="4F4E10A0" w14:textId="04D14D06" w:rsidR="00DD16DB" w:rsidRDefault="00AD7352" w:rsidP="00DD16DB">
      <w:pPr>
        <w:keepNext/>
        <w:jc w:val="center"/>
      </w:pPr>
      <w:r>
        <w:rPr>
          <w:noProof/>
        </w:rPr>
        <w:drawing>
          <wp:inline distT="0" distB="0" distL="0" distR="0" wp14:anchorId="5E1E08A7" wp14:editId="67B65543">
            <wp:extent cx="3327991" cy="2533864"/>
            <wp:effectExtent l="0" t="0" r="0" b="0"/>
            <wp:docPr id="12" name="Picture 12" descr="A pie chart displays the percentages of PWD respondents (N = 86) who answered, &quot;Yes,&quot; &quot;No,&quot; or &quot;I don't remember&quot; on the question, &quot;Did you or the person you are answering for identified as a person with a disability on the 2010 US Census?&quot; The percentages are as follows: 45% Yes, 22% No, and 33% I don't remember." title="Figure 2: Disability Identification on 2010 US Census for PW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4337" cy="2538696"/>
                    </a:xfrm>
                    <a:prstGeom prst="rect">
                      <a:avLst/>
                    </a:prstGeom>
                    <a:noFill/>
                  </pic:spPr>
                </pic:pic>
              </a:graphicData>
            </a:graphic>
          </wp:inline>
        </w:drawing>
      </w:r>
    </w:p>
    <w:p w14:paraId="3A2669FA" w14:textId="707CF90F" w:rsidR="00AD7352" w:rsidRDefault="00DD16DB" w:rsidP="00DD16DB">
      <w:pPr>
        <w:pStyle w:val="Caption"/>
        <w:jc w:val="center"/>
      </w:pPr>
      <w:r>
        <w:t xml:space="preserve">Figure </w:t>
      </w:r>
      <w:r w:rsidR="006C604C">
        <w:fldChar w:fldCharType="begin"/>
      </w:r>
      <w:r w:rsidR="006C604C">
        <w:instrText xml:space="preserve"> SEQ Figure \* ARABIC </w:instrText>
      </w:r>
      <w:r w:rsidR="006C604C">
        <w:fldChar w:fldCharType="separate"/>
      </w:r>
      <w:r w:rsidR="00C40893">
        <w:rPr>
          <w:noProof/>
        </w:rPr>
        <w:t>2</w:t>
      </w:r>
      <w:r w:rsidR="006C604C">
        <w:rPr>
          <w:noProof/>
        </w:rPr>
        <w:fldChar w:fldCharType="end"/>
      </w:r>
      <w:r>
        <w:t xml:space="preserve">. </w:t>
      </w:r>
      <w:r w:rsidRPr="00DD16DB">
        <w:rPr>
          <w:i w:val="0"/>
        </w:rPr>
        <w:t>Disability Identification on 2010 US Census for PWDs</w:t>
      </w:r>
    </w:p>
    <w:p w14:paraId="76377B81" w14:textId="77777777" w:rsidR="00DD16DB" w:rsidRDefault="00DD16DB" w:rsidP="00DD16DB">
      <w:pPr>
        <w:keepNext/>
        <w:jc w:val="center"/>
      </w:pPr>
      <w:r>
        <w:rPr>
          <w:i/>
          <w:iCs/>
          <w:noProof/>
          <w:color w:val="44546A" w:themeColor="text2"/>
          <w:szCs w:val="18"/>
        </w:rPr>
        <w:drawing>
          <wp:inline distT="0" distB="0" distL="0" distR="0" wp14:anchorId="11593E7D" wp14:editId="31C0A306">
            <wp:extent cx="3466214" cy="2914716"/>
            <wp:effectExtent l="0" t="0" r="0" b="0"/>
            <wp:docPr id="18" name="Picture 18" descr="A pie chart displays the percentages of ACO respondents (N = 179) who answered, &quot;Yes,&quot; &quot;No,&quot; or &quot;I don't remember&quot; on the question, &quot;Did you or the person you are answering for identified as a person with a disability on the 2010 US Census?&quot; The percentages are as follows: 48% Yes, 18% No, and 34% I don't remember." title="Figure 3: Disability Identification on 2010 US Census for A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626" cy="2947858"/>
                    </a:xfrm>
                    <a:prstGeom prst="rect">
                      <a:avLst/>
                    </a:prstGeom>
                    <a:noFill/>
                  </pic:spPr>
                </pic:pic>
              </a:graphicData>
            </a:graphic>
          </wp:inline>
        </w:drawing>
      </w:r>
    </w:p>
    <w:p w14:paraId="003502BC" w14:textId="5B7C0D8D" w:rsidR="00DD16DB" w:rsidRDefault="00DD16DB" w:rsidP="00DD16DB">
      <w:pPr>
        <w:pStyle w:val="Caption"/>
        <w:jc w:val="center"/>
        <w:rPr>
          <w:i w:val="0"/>
          <w:iCs w:val="0"/>
        </w:rPr>
      </w:pPr>
      <w:r>
        <w:t xml:space="preserve">Figure </w:t>
      </w:r>
      <w:r w:rsidR="006C604C">
        <w:fldChar w:fldCharType="begin"/>
      </w:r>
      <w:r w:rsidR="006C604C">
        <w:instrText xml:space="preserve"> SEQ Figure \* ARABIC </w:instrText>
      </w:r>
      <w:r w:rsidR="006C604C">
        <w:fldChar w:fldCharType="separate"/>
      </w:r>
      <w:r w:rsidR="00C40893">
        <w:rPr>
          <w:noProof/>
        </w:rPr>
        <w:t>3</w:t>
      </w:r>
      <w:r w:rsidR="006C604C">
        <w:rPr>
          <w:noProof/>
        </w:rPr>
        <w:fldChar w:fldCharType="end"/>
      </w:r>
      <w:r>
        <w:t xml:space="preserve">. </w:t>
      </w:r>
      <w:r w:rsidRPr="00DD16DB">
        <w:rPr>
          <w:i w:val="0"/>
        </w:rPr>
        <w:t>Disability Identification on 2010 US Census for ACOs</w:t>
      </w:r>
    </w:p>
    <w:p w14:paraId="4BCC6EDF" w14:textId="2CA09A58" w:rsidR="00BD7CC9" w:rsidRDefault="00BD7CC9" w:rsidP="00BD7CC9">
      <w:pPr>
        <w:rPr>
          <w:noProof/>
        </w:rPr>
      </w:pPr>
      <w:r>
        <w:rPr>
          <w:noProof/>
        </w:rPr>
        <w:t xml:space="preserve">Respondents were asked to indicate which county they, or the person </w:t>
      </w:r>
      <w:r w:rsidR="00E95D93">
        <w:rPr>
          <w:noProof/>
        </w:rPr>
        <w:t xml:space="preserve">on whose behalf </w:t>
      </w:r>
      <w:r>
        <w:rPr>
          <w:noProof/>
        </w:rPr>
        <w:t xml:space="preserve">they were answering resided. Thirty-one percent of PA counties were represented </w:t>
      </w:r>
      <w:r w:rsidR="00E95D93">
        <w:rPr>
          <w:noProof/>
        </w:rPr>
        <w:t>by</w:t>
      </w:r>
      <w:r w:rsidR="00130EC8">
        <w:rPr>
          <w:noProof/>
        </w:rPr>
        <w:t xml:space="preserve"> </w:t>
      </w:r>
      <w:r>
        <w:rPr>
          <w:noProof/>
        </w:rPr>
        <w:t>respondents who identified as a PWDs, and 49% of PA counties were represented for respondents who identified as ACOs. Counties were categorized as urban if the population density was greater than or equal to 284 persons per square mile, or rural if the population density was below 284 persons per square mile</w:t>
      </w:r>
      <w:r w:rsidR="00420DE7">
        <w:rPr>
          <w:noProof/>
        </w:rPr>
        <w:t xml:space="preserve"> (Center for Rural Pennsylvania, 2014)</w:t>
      </w:r>
      <w:r>
        <w:rPr>
          <w:noProof/>
        </w:rPr>
        <w:t xml:space="preserve">. The vast majority of respondents who identified as a PWD or as an ACO came from urban counties (88% and 84% respectively). Figures </w:t>
      </w:r>
      <w:r w:rsidR="006636C4">
        <w:rPr>
          <w:noProof/>
        </w:rPr>
        <w:t xml:space="preserve">4 </w:t>
      </w:r>
      <w:r>
        <w:rPr>
          <w:noProof/>
        </w:rPr>
        <w:t xml:space="preserve">and </w:t>
      </w:r>
      <w:r w:rsidR="006636C4">
        <w:rPr>
          <w:noProof/>
        </w:rPr>
        <w:t xml:space="preserve">5 </w:t>
      </w:r>
      <w:r>
        <w:rPr>
          <w:noProof/>
        </w:rPr>
        <w:t>graphically display the distribution of respondents across</w:t>
      </w:r>
      <w:r w:rsidR="00E23E6E">
        <w:rPr>
          <w:noProof/>
        </w:rPr>
        <w:t xml:space="preserve"> </w:t>
      </w:r>
      <w:r>
        <w:rPr>
          <w:noProof/>
        </w:rPr>
        <w:t>counties in Pennsylvania for respondents who identified as PWDs and ACOs.</w:t>
      </w:r>
      <w:r w:rsidR="00166E81" w:rsidRPr="00166E81">
        <w:rPr>
          <w:noProof/>
        </w:rPr>
        <w:t xml:space="preserve"> For a more detailed description of respondents </w:t>
      </w:r>
      <w:r w:rsidR="002F4439">
        <w:rPr>
          <w:noProof/>
        </w:rPr>
        <w:t xml:space="preserve"> by counties</w:t>
      </w:r>
      <w:r w:rsidR="00166E81" w:rsidRPr="00166E81">
        <w:rPr>
          <w:noProof/>
        </w:rPr>
        <w:t>, see the table</w:t>
      </w:r>
      <w:r w:rsidR="003409C3">
        <w:rPr>
          <w:noProof/>
        </w:rPr>
        <w:t>s</w:t>
      </w:r>
      <w:r w:rsidR="00166E81" w:rsidRPr="00166E81">
        <w:rPr>
          <w:noProof/>
        </w:rPr>
        <w:t xml:space="preserve"> in </w:t>
      </w:r>
      <w:hyperlink w:anchor="_Appendix_A" w:history="1">
        <w:r w:rsidR="00166E81" w:rsidRPr="00B04052">
          <w:rPr>
            <w:rStyle w:val="Hyperlink"/>
            <w:noProof/>
          </w:rPr>
          <w:t>Appendix A</w:t>
        </w:r>
      </w:hyperlink>
      <w:r w:rsidR="00166E81" w:rsidRPr="00166E81">
        <w:rPr>
          <w:noProof/>
        </w:rPr>
        <w:t>.</w:t>
      </w:r>
      <w:r w:rsidR="001C0D75">
        <w:rPr>
          <w:noProof/>
        </w:rPr>
        <w:t xml:space="preserve"> While there was </w:t>
      </w:r>
      <w:r w:rsidR="00C07962">
        <w:rPr>
          <w:noProof/>
        </w:rPr>
        <w:t>statewide representation among</w:t>
      </w:r>
      <w:r w:rsidR="001C0D75">
        <w:rPr>
          <w:noProof/>
        </w:rPr>
        <w:t xml:space="preserve"> survey respondents, it is not surprising to note that the majority of respondents were from P</w:t>
      </w:r>
      <w:r w:rsidR="00E95D93">
        <w:rPr>
          <w:noProof/>
        </w:rPr>
        <w:t>ennsylvania’s</w:t>
      </w:r>
      <w:r w:rsidR="001C0D75">
        <w:rPr>
          <w:noProof/>
        </w:rPr>
        <w:t xml:space="preserve"> population centers.</w:t>
      </w:r>
      <w:r w:rsidR="00C07962">
        <w:rPr>
          <w:noProof/>
        </w:rPr>
        <w:t xml:space="preserve"> A similar su</w:t>
      </w:r>
      <w:r w:rsidR="006D409C">
        <w:rPr>
          <w:noProof/>
        </w:rPr>
        <w:t>r</w:t>
      </w:r>
      <w:r w:rsidR="00C07962">
        <w:rPr>
          <w:noProof/>
        </w:rPr>
        <w:t>vey targeting rural Pennsylvanians may or may not yield different results, and an effort to glean information regarding emergency knowledge and planning for people with</w:t>
      </w:r>
      <w:r w:rsidR="00820EDE">
        <w:rPr>
          <w:noProof/>
        </w:rPr>
        <w:t xml:space="preserve"> disabilities or other</w:t>
      </w:r>
      <w:r w:rsidR="00C07962">
        <w:rPr>
          <w:noProof/>
        </w:rPr>
        <w:t xml:space="preserve"> access and functional needs specifically living in rural areas </w:t>
      </w:r>
      <w:r w:rsidR="00E95D93">
        <w:rPr>
          <w:noProof/>
        </w:rPr>
        <w:t>may</w:t>
      </w:r>
      <w:r w:rsidR="00130EC8">
        <w:rPr>
          <w:noProof/>
        </w:rPr>
        <w:t xml:space="preserve"> </w:t>
      </w:r>
      <w:r w:rsidR="00C07962">
        <w:rPr>
          <w:noProof/>
        </w:rPr>
        <w:t>need to be undertaken.</w:t>
      </w:r>
    </w:p>
    <w:p w14:paraId="604F5184" w14:textId="77777777" w:rsidR="003F6116" w:rsidRDefault="00BD7CC9" w:rsidP="00E23E6E">
      <w:pPr>
        <w:keepNext/>
        <w:jc w:val="center"/>
      </w:pPr>
      <w:bookmarkStart w:id="4" w:name="Figure_4_PWD_Respondents_by_PA_County"/>
      <w:r>
        <w:rPr>
          <w:noProof/>
        </w:rPr>
        <w:drawing>
          <wp:inline distT="0" distB="0" distL="0" distR="0" wp14:anchorId="1A532A83" wp14:editId="4435798D">
            <wp:extent cx="5943600" cy="3016250"/>
            <wp:effectExtent l="0" t="0" r="0" b="0"/>
            <wp:docPr id="4" name="Picture 4" descr="An image of a Google map of Pennsylvania with county boundaries colored according to the number of PWD respondents from that county. For a more detailed description of PWD respondents across PA counties see Table 5 in Appendix A. Red colored counties correspond to 1 respondent; orange colored counties correspond to 2 respondents; yellow colored counties correspond to 3 respondents; green colored counties correspond to four respondents; cyan colored counties correspond to 5-10 respondents; blue colored counties correspond to 10-20 respondents; and purple colored counties correspond to 20-27 respondents." title="Figure 4: PWD Respondents by PA Coun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D-respondent-by-county-map_edited_no-titl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016250"/>
                    </a:xfrm>
                    <a:prstGeom prst="rect">
                      <a:avLst/>
                    </a:prstGeom>
                  </pic:spPr>
                </pic:pic>
              </a:graphicData>
            </a:graphic>
          </wp:inline>
        </w:drawing>
      </w:r>
      <w:bookmarkEnd w:id="4"/>
    </w:p>
    <w:p w14:paraId="5DEBD66C" w14:textId="04366DEB" w:rsidR="00BD7CC9" w:rsidRDefault="003F6116" w:rsidP="003F6116">
      <w:pPr>
        <w:pStyle w:val="Caption"/>
        <w:jc w:val="center"/>
      </w:pPr>
      <w:r>
        <w:t xml:space="preserve">Figure </w:t>
      </w:r>
      <w:r w:rsidR="006C604C">
        <w:fldChar w:fldCharType="begin"/>
      </w:r>
      <w:r w:rsidR="006C604C">
        <w:instrText xml:space="preserve"> SEQ Figure \* ARABIC </w:instrText>
      </w:r>
      <w:r w:rsidR="006C604C">
        <w:fldChar w:fldCharType="separate"/>
      </w:r>
      <w:r w:rsidR="00C40893">
        <w:rPr>
          <w:noProof/>
        </w:rPr>
        <w:t>4</w:t>
      </w:r>
      <w:r w:rsidR="006C604C">
        <w:rPr>
          <w:noProof/>
        </w:rPr>
        <w:fldChar w:fldCharType="end"/>
      </w:r>
      <w:r w:rsidR="00C07962">
        <w:t>.</w:t>
      </w:r>
      <w:r>
        <w:t xml:space="preserve"> </w:t>
      </w:r>
      <w:r w:rsidRPr="00C07962">
        <w:rPr>
          <w:i w:val="0"/>
        </w:rPr>
        <w:t>PWD Respondents by County</w:t>
      </w:r>
    </w:p>
    <w:p w14:paraId="4D0EC80D" w14:textId="77777777" w:rsidR="00166E81" w:rsidRDefault="00BD7CC9" w:rsidP="00E23E6E">
      <w:pPr>
        <w:keepNext/>
        <w:jc w:val="center"/>
      </w:pPr>
      <w:bookmarkStart w:id="5" w:name="Figure_5_ACO_Respondents_by_PA_County"/>
      <w:r>
        <w:rPr>
          <w:noProof/>
        </w:rPr>
        <w:drawing>
          <wp:inline distT="0" distB="0" distL="0" distR="0" wp14:anchorId="41C76AD7" wp14:editId="5284F634">
            <wp:extent cx="5943600" cy="3007360"/>
            <wp:effectExtent l="0" t="0" r="0" b="2540"/>
            <wp:docPr id="5" name="Picture 5" descr="Pennsylvania with county boundaries colored according to the number of ACO respondents from that county. For a more detailed description of ACO respondents across PA counties see the table in Appendix A. Red colored counties correspond to 1 respondent; orange colored counties correspond to 2-5 respondents; yellow colored counties correspond to 5-10 respondents; green colored counties correspond to 10-15 respondents; cyan colored counties correspond to 15-20 respondents; blue colored counties correspond to 20-25 respondents; and purple colored counties correspond to 25-30 respondents." title="Figure 5: ACO Respondents by PA Count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O-respondent-by-county-map_2_edited_no-title.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007360"/>
                    </a:xfrm>
                    <a:prstGeom prst="rect">
                      <a:avLst/>
                    </a:prstGeom>
                  </pic:spPr>
                </pic:pic>
              </a:graphicData>
            </a:graphic>
          </wp:inline>
        </w:drawing>
      </w:r>
      <w:bookmarkEnd w:id="5"/>
    </w:p>
    <w:p w14:paraId="4B1D7B4E" w14:textId="7291EEC2" w:rsidR="00755883" w:rsidRDefault="00166E81" w:rsidP="00166E81">
      <w:pPr>
        <w:pStyle w:val="Caption"/>
        <w:jc w:val="center"/>
      </w:pPr>
      <w:r>
        <w:t xml:space="preserve">Figure </w:t>
      </w:r>
      <w:r w:rsidR="006C604C">
        <w:fldChar w:fldCharType="begin"/>
      </w:r>
      <w:r w:rsidR="006C604C">
        <w:instrText xml:space="preserve"> SEQ Figure \* ARABIC </w:instrText>
      </w:r>
      <w:r w:rsidR="006C604C">
        <w:fldChar w:fldCharType="separate"/>
      </w:r>
      <w:r w:rsidR="00C40893">
        <w:rPr>
          <w:noProof/>
        </w:rPr>
        <w:t>5</w:t>
      </w:r>
      <w:r w:rsidR="006C604C">
        <w:rPr>
          <w:noProof/>
        </w:rPr>
        <w:fldChar w:fldCharType="end"/>
      </w:r>
      <w:r w:rsidR="00C07962">
        <w:t>.</w:t>
      </w:r>
      <w:r>
        <w:t xml:space="preserve"> </w:t>
      </w:r>
      <w:r w:rsidRPr="00C07962">
        <w:rPr>
          <w:i w:val="0"/>
        </w:rPr>
        <w:t>ACO Respondents by County</w:t>
      </w:r>
    </w:p>
    <w:p w14:paraId="45103E58" w14:textId="32356EC6" w:rsidR="00476812" w:rsidRDefault="00AB7F54" w:rsidP="00476812">
      <w:r>
        <w:t>Based on the</w:t>
      </w:r>
      <w:r w:rsidR="006A0F8F">
        <w:t xml:space="preserve"> definition of</w:t>
      </w:r>
      <w:r>
        <w:t xml:space="preserve"> access and function</w:t>
      </w:r>
      <w:r w:rsidR="006A0F8F">
        <w:t>al</w:t>
      </w:r>
      <w:r>
        <w:t xml:space="preserve"> needs provided by the Office of Assistan</w:t>
      </w:r>
      <w:r w:rsidR="00E95D93">
        <w:t>t</w:t>
      </w:r>
      <w:r>
        <w:t xml:space="preserve"> Secretary for Preparedness and Response</w:t>
      </w:r>
      <w:r w:rsidR="00E95D93">
        <w:t>, U</w:t>
      </w:r>
      <w:r w:rsidR="00331288">
        <w:t>.</w:t>
      </w:r>
      <w:r w:rsidR="00E95D93">
        <w:t>S</w:t>
      </w:r>
      <w:r w:rsidR="00331288">
        <w:t>.</w:t>
      </w:r>
      <w:r w:rsidR="00E95D93">
        <w:t xml:space="preserve"> Department of Health and Human Services</w:t>
      </w:r>
      <w:r>
        <w:t xml:space="preserve"> (ASPR, 2016), r</w:t>
      </w:r>
      <w:r w:rsidR="00476812" w:rsidRPr="00476812">
        <w:t>espondents were asked to indicate whether they, or the person they were answering on behalf of had any of the following</w:t>
      </w:r>
      <w:r w:rsidR="00820EDE">
        <w:t xml:space="preserve"> disabilities or</w:t>
      </w:r>
      <w:r w:rsidR="00476812" w:rsidRPr="00476812">
        <w:t xml:space="preserve"> </w:t>
      </w:r>
      <w:r w:rsidR="000C5AEB">
        <w:t>access and functional needs</w:t>
      </w:r>
      <w:r w:rsidR="00476812" w:rsidRPr="00476812">
        <w:t xml:space="preserve">: visual impairment, hearing impairment, difficulty walking, difficulty manipulating objects, difficulty speaking or reading English, special dietary needs, chronic medical conditions, temporary conditions, and difficulty understanding or remembering. Percentages of respondents who indicated they or the person </w:t>
      </w:r>
      <w:r w:rsidR="00E95D93">
        <w:t>for whom they were answering</w:t>
      </w:r>
      <w:r w:rsidR="00476812" w:rsidRPr="00476812">
        <w:t xml:space="preserve"> had any of the aforementioned</w:t>
      </w:r>
      <w:r w:rsidR="00D76A9E">
        <w:t xml:space="preserve"> disabilities or other</w:t>
      </w:r>
      <w:r w:rsidR="00476812" w:rsidRPr="00476812">
        <w:t xml:space="preserve"> </w:t>
      </w:r>
      <w:r w:rsidR="000C5AEB">
        <w:t xml:space="preserve">access and functional needs </w:t>
      </w:r>
      <w:r w:rsidR="00476812">
        <w:t xml:space="preserve">are shown in </w:t>
      </w:r>
      <w:r w:rsidR="007005AD">
        <w:t>Figure</w:t>
      </w:r>
      <w:r w:rsidR="00476812" w:rsidRPr="00476812">
        <w:t xml:space="preserve"> </w:t>
      </w:r>
      <w:r w:rsidR="002F4439">
        <w:t>6</w:t>
      </w:r>
      <w:r w:rsidR="00476812" w:rsidRPr="00476812">
        <w:t>. The majority of respondents who selected “</w:t>
      </w:r>
      <w:r w:rsidR="00F47196">
        <w:t>o</w:t>
      </w:r>
      <w:r w:rsidR="00476812" w:rsidRPr="00476812">
        <w:t xml:space="preserve">ther” indicated that they or the person </w:t>
      </w:r>
      <w:r w:rsidR="00E95D93">
        <w:t xml:space="preserve">for whom they were answering </w:t>
      </w:r>
      <w:r w:rsidR="00476812" w:rsidRPr="00476812">
        <w:t xml:space="preserve">either had a specific </w:t>
      </w:r>
      <w:r w:rsidR="00C07962">
        <w:t>psychologica</w:t>
      </w:r>
      <w:r w:rsidR="00C07962" w:rsidRPr="00476812">
        <w:t xml:space="preserve">l </w:t>
      </w:r>
      <w:r w:rsidR="00476812" w:rsidRPr="00476812">
        <w:t>disorder</w:t>
      </w:r>
      <w:r w:rsidR="000C5AEB">
        <w:t xml:space="preserve"> as per the Diagnostic and Statistical Manual</w:t>
      </w:r>
      <w:r w:rsidR="00087836">
        <w:t xml:space="preserve"> of Mental Disorders</w:t>
      </w:r>
      <w:r w:rsidR="000C5AEB">
        <w:t>, Fifth Edition (DSM-V)</w:t>
      </w:r>
      <w:r w:rsidR="00087836">
        <w:t xml:space="preserve"> (American Psychiatric Association, 2013)</w:t>
      </w:r>
      <w:r w:rsidR="00476812" w:rsidRPr="00476812">
        <w:t xml:space="preserve">, e.g., </w:t>
      </w:r>
      <w:r w:rsidR="00476812">
        <w:t>obsessive compulsive disorder</w:t>
      </w:r>
      <w:r w:rsidR="00476812" w:rsidRPr="00476812">
        <w:t xml:space="preserve">, autism, </w:t>
      </w:r>
      <w:r w:rsidR="000C5AEB">
        <w:t xml:space="preserve">or </w:t>
      </w:r>
      <w:r w:rsidR="00476812" w:rsidRPr="00476812">
        <w:t>intellectual disability</w:t>
      </w:r>
      <w:r w:rsidR="007B0787">
        <w:t>;</w:t>
      </w:r>
      <w:r w:rsidR="00476812" w:rsidRPr="00476812">
        <w:t xml:space="preserve"> or a specific </w:t>
      </w:r>
      <w:proofErr w:type="spellStart"/>
      <w:r w:rsidR="00476812" w:rsidRPr="00476812">
        <w:t>musculo</w:t>
      </w:r>
      <w:proofErr w:type="spellEnd"/>
      <w:r w:rsidR="00476812" w:rsidRPr="00476812">
        <w:t xml:space="preserve">-skeletal or neurological disorder, e.g., cerebral palsy, muscular dystrophy, </w:t>
      </w:r>
      <w:r w:rsidR="00050FA1">
        <w:t xml:space="preserve">or </w:t>
      </w:r>
      <w:r w:rsidR="00476812" w:rsidRPr="00476812">
        <w:t>spinal cord injury.</w:t>
      </w:r>
      <w:r w:rsidR="00DC467F">
        <w:t xml:space="preserve"> It is interesting to note the difference between PWD and ACO respondents’ answers to response choices concerned with communicative difficulties, i.e., difficulty speaking or reading English and difficulty understanding or remembering. One reason for this finding may be that people with access and functional needs related to communication are less aware of their difficulties. In other words, people with access and functional needs may not know what they are not understanding unless it is brought to their attention. This finding may indicate a potential additional training need for emergency shelter personnel and first responders.</w:t>
      </w:r>
    </w:p>
    <w:p w14:paraId="6D8A7162" w14:textId="77777777" w:rsidR="001E3544" w:rsidRDefault="001E3544" w:rsidP="001E3544">
      <w:pPr>
        <w:keepNext/>
        <w:jc w:val="center"/>
      </w:pPr>
      <w:r>
        <w:rPr>
          <w:i/>
          <w:iCs/>
          <w:noProof/>
          <w:color w:val="44546A" w:themeColor="text2"/>
          <w:szCs w:val="18"/>
        </w:rPr>
        <w:drawing>
          <wp:inline distT="0" distB="0" distL="0" distR="0" wp14:anchorId="4D5A0466" wp14:editId="6CEF89F6">
            <wp:extent cx="5805377" cy="4011567"/>
            <wp:effectExtent l="0" t="0" r="0" b="0"/>
            <wp:docPr id="21" name="Picture 21" descr="A vertical clustered bar graph displays percentages of PWD and ACO respondents reported difficulties across response choices. Percentages for PWDs are as follows: 22% Visual impairment, 25% Hearing impairment, 42% Difficulty walking, 25% Difficulty manipulating objects (like turning pages, holding things, etc.), 8% Difficulty speaking or reading English, 10% Special dietary needs, 29% Chronic medical conditions, 2% Temporary conditions (like broken bones, late-stage pregnancy), 15% Difficulty understanding or remembering, 6% None of the above, 26% Other. Percentages for ACO respondents are as follows: 22% Visual impairment, 25% Hearing impairment, 44% Difficulty walking, 30% Difficulty manipulating objects (like turning pages, holding things, etc.), 35% Difficulty speaking or reading English, 24% Special dietary needs, 42% Chronic medical conditions, 4% Temporary conditions (like broken bones, late-stage pregnancy), 49% Difficulty understanding or remembering, 5% None of the above, 30% Other." title="Figure 6: Distribution of Respondents' Difficulty Across Types of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3855" cy="4031245"/>
                    </a:xfrm>
                    <a:prstGeom prst="rect">
                      <a:avLst/>
                    </a:prstGeom>
                    <a:noFill/>
                  </pic:spPr>
                </pic:pic>
              </a:graphicData>
            </a:graphic>
          </wp:inline>
        </w:drawing>
      </w:r>
    </w:p>
    <w:p w14:paraId="1BD1B7EB" w14:textId="5AE6CC49" w:rsidR="001E3544" w:rsidRDefault="001E3544" w:rsidP="001E3544">
      <w:pPr>
        <w:pStyle w:val="Caption"/>
        <w:jc w:val="center"/>
        <w:rPr>
          <w:i w:val="0"/>
          <w:iCs w:val="0"/>
        </w:rPr>
      </w:pPr>
      <w:r>
        <w:t xml:space="preserve">Figure </w:t>
      </w:r>
      <w:r w:rsidR="006C604C">
        <w:fldChar w:fldCharType="begin"/>
      </w:r>
      <w:r w:rsidR="006C604C">
        <w:instrText xml:space="preserve"> SEQ Figure \* ARABIC </w:instrText>
      </w:r>
      <w:r w:rsidR="006C604C">
        <w:fldChar w:fldCharType="separate"/>
      </w:r>
      <w:r w:rsidR="00C40893">
        <w:rPr>
          <w:noProof/>
        </w:rPr>
        <w:t>6</w:t>
      </w:r>
      <w:r w:rsidR="006C604C">
        <w:rPr>
          <w:noProof/>
        </w:rPr>
        <w:fldChar w:fldCharType="end"/>
      </w:r>
      <w:r>
        <w:t>.</w:t>
      </w:r>
      <w:r w:rsidRPr="001E3544">
        <w:rPr>
          <w:i w:val="0"/>
        </w:rPr>
        <w:t xml:space="preserve"> Distribution of Respondents' Difficulty </w:t>
      </w:r>
      <w:r w:rsidR="0096283E" w:rsidRPr="001E3544">
        <w:rPr>
          <w:i w:val="0"/>
        </w:rPr>
        <w:t>across</w:t>
      </w:r>
      <w:r w:rsidRPr="001E3544">
        <w:rPr>
          <w:i w:val="0"/>
        </w:rPr>
        <w:t xml:space="preserve"> Types of Activities</w:t>
      </w:r>
    </w:p>
    <w:p w14:paraId="29E657AC" w14:textId="19BC1853" w:rsidR="0075184C" w:rsidRDefault="008F3A8D" w:rsidP="00082B88">
      <w:r w:rsidRPr="008F3A8D">
        <w:t>Table</w:t>
      </w:r>
      <w:r w:rsidR="0075184C">
        <w:t>s</w:t>
      </w:r>
      <w:r w:rsidRPr="008F3A8D">
        <w:t xml:space="preserve"> </w:t>
      </w:r>
      <w:r w:rsidR="002F4439">
        <w:t>1</w:t>
      </w:r>
      <w:r w:rsidR="0075184C">
        <w:t xml:space="preserve"> and </w:t>
      </w:r>
      <w:r w:rsidR="002F4439">
        <w:t>2</w:t>
      </w:r>
      <w:r w:rsidR="0075184C">
        <w:t xml:space="preserve"> show</w:t>
      </w:r>
      <w:r w:rsidRPr="008F3A8D">
        <w:t xml:space="preserve"> responses for people with disabilities</w:t>
      </w:r>
      <w:r w:rsidR="00E23E6E">
        <w:t xml:space="preserve"> (PWDs)</w:t>
      </w:r>
      <w:r w:rsidRPr="008F3A8D">
        <w:t xml:space="preserve"> and those who identified</w:t>
      </w:r>
      <w:r w:rsidR="00E23E6E">
        <w:t xml:space="preserve"> as advocates, caregivers, or o</w:t>
      </w:r>
      <w:r w:rsidRPr="008F3A8D">
        <w:t>ther</w:t>
      </w:r>
      <w:r w:rsidR="00E23E6E">
        <w:t xml:space="preserve"> (ACOs)</w:t>
      </w:r>
      <w:r w:rsidRPr="008F3A8D">
        <w:t xml:space="preserve"> regarding the type of housing in which they or the person they were answering for resides. The majority of both </w:t>
      </w:r>
      <w:r w:rsidR="0075184C">
        <w:t>PWD</w:t>
      </w:r>
      <w:r w:rsidRPr="008F3A8D">
        <w:t xml:space="preserve"> and ACO respondents reported living in a one-family house detached from any other houses.</w:t>
      </w:r>
    </w:p>
    <w:p w14:paraId="69E67498" w14:textId="4D04BF9F" w:rsidR="00801B17" w:rsidRDefault="00801B17" w:rsidP="00801B17">
      <w:pPr>
        <w:pStyle w:val="Caption"/>
        <w:keepNext/>
        <w:jc w:val="center"/>
      </w:pPr>
      <w:r>
        <w:t xml:space="preserve">Table </w:t>
      </w:r>
      <w:r w:rsidR="006C604C">
        <w:fldChar w:fldCharType="begin"/>
      </w:r>
      <w:r w:rsidR="006C604C">
        <w:instrText xml:space="preserve"> SEQ Table \* ARABIC </w:instrText>
      </w:r>
      <w:r w:rsidR="006C604C">
        <w:fldChar w:fldCharType="separate"/>
      </w:r>
      <w:r w:rsidR="00BD618B">
        <w:rPr>
          <w:noProof/>
        </w:rPr>
        <w:t>1</w:t>
      </w:r>
      <w:r w:rsidR="006C604C">
        <w:rPr>
          <w:noProof/>
        </w:rPr>
        <w:fldChar w:fldCharType="end"/>
      </w:r>
      <w:r w:rsidR="00F47196">
        <w:t>.</w:t>
      </w:r>
      <w:r>
        <w:t xml:space="preserve"> </w:t>
      </w:r>
      <w:r w:rsidRPr="00F47196">
        <w:rPr>
          <w:i w:val="0"/>
        </w:rPr>
        <w:t>Distribution of Residential Living Status for PWDs</w:t>
      </w:r>
    </w:p>
    <w:tbl>
      <w:tblPr>
        <w:tblStyle w:val="TableGrid"/>
        <w:tblW w:w="0" w:type="auto"/>
        <w:tblLook w:val="04A0" w:firstRow="1" w:lastRow="0" w:firstColumn="1" w:lastColumn="0" w:noHBand="0" w:noVBand="1"/>
        <w:tblCaption w:val="Table 1: Distribution of Residential Living Status for PWDs"/>
        <w:tblDescription w:val="This table shows percentages and counts of PWD respondents' residential living status across various response choices."/>
      </w:tblPr>
      <w:tblGrid>
        <w:gridCol w:w="6385"/>
        <w:gridCol w:w="1530"/>
        <w:gridCol w:w="1435"/>
      </w:tblGrid>
      <w:tr w:rsidR="0075184C" w:rsidRPr="00370BB7" w14:paraId="06E6B93F" w14:textId="77777777" w:rsidTr="00455F27">
        <w:trPr>
          <w:tblHeader/>
        </w:trPr>
        <w:tc>
          <w:tcPr>
            <w:tcW w:w="6385" w:type="dxa"/>
            <w:shd w:val="clear" w:color="auto" w:fill="000000" w:themeFill="text1"/>
            <w:vAlign w:val="center"/>
          </w:tcPr>
          <w:p w14:paraId="1125BF36" w14:textId="3A55BDEF" w:rsidR="0075184C" w:rsidRPr="00370BB7" w:rsidRDefault="00EB6639" w:rsidP="00455F27">
            <w:pPr>
              <w:jc w:val="center"/>
              <w:rPr>
                <w:b/>
                <w:color w:val="FFFFFF" w:themeColor="background1"/>
              </w:rPr>
            </w:pPr>
            <w:r>
              <w:rPr>
                <w:b/>
                <w:color w:val="FFFFFF" w:themeColor="background1"/>
              </w:rPr>
              <w:t>Type of Housing</w:t>
            </w:r>
          </w:p>
        </w:tc>
        <w:tc>
          <w:tcPr>
            <w:tcW w:w="1530" w:type="dxa"/>
            <w:shd w:val="clear" w:color="auto" w:fill="000000" w:themeFill="text1"/>
            <w:vAlign w:val="center"/>
          </w:tcPr>
          <w:p w14:paraId="70252373" w14:textId="77777777" w:rsidR="0075184C" w:rsidRPr="00370BB7" w:rsidRDefault="0075184C" w:rsidP="00455F27">
            <w:pPr>
              <w:jc w:val="center"/>
              <w:rPr>
                <w:b/>
                <w:color w:val="FFFFFF" w:themeColor="background1"/>
              </w:rPr>
            </w:pPr>
            <w:r w:rsidRPr="00370BB7">
              <w:rPr>
                <w:b/>
                <w:color w:val="FFFFFF" w:themeColor="background1"/>
              </w:rPr>
              <w:t>Respondent Percentage</w:t>
            </w:r>
          </w:p>
        </w:tc>
        <w:tc>
          <w:tcPr>
            <w:tcW w:w="1435" w:type="dxa"/>
            <w:shd w:val="clear" w:color="auto" w:fill="000000" w:themeFill="text1"/>
            <w:vAlign w:val="center"/>
          </w:tcPr>
          <w:p w14:paraId="5BCDF2C1" w14:textId="77777777" w:rsidR="0075184C" w:rsidRPr="00370BB7" w:rsidRDefault="0075184C" w:rsidP="00455F27">
            <w:pPr>
              <w:jc w:val="center"/>
              <w:rPr>
                <w:b/>
                <w:color w:val="FFFFFF" w:themeColor="background1"/>
              </w:rPr>
            </w:pPr>
            <w:r w:rsidRPr="00370BB7">
              <w:rPr>
                <w:b/>
                <w:color w:val="FFFFFF" w:themeColor="background1"/>
              </w:rPr>
              <w:t>Respondent Count</w:t>
            </w:r>
          </w:p>
        </w:tc>
      </w:tr>
      <w:tr w:rsidR="0075184C" w14:paraId="21DD72A9" w14:textId="77777777" w:rsidTr="00455F27">
        <w:tc>
          <w:tcPr>
            <w:tcW w:w="6385" w:type="dxa"/>
          </w:tcPr>
          <w:p w14:paraId="5C5D6546" w14:textId="77777777" w:rsidR="0075184C" w:rsidRDefault="0075184C" w:rsidP="00455F27">
            <w:r w:rsidRPr="003D7A20">
              <w:t>A one-family house detached from any other house</w:t>
            </w:r>
          </w:p>
        </w:tc>
        <w:tc>
          <w:tcPr>
            <w:tcW w:w="1530" w:type="dxa"/>
          </w:tcPr>
          <w:p w14:paraId="060321E6" w14:textId="7378DE7C" w:rsidR="0075184C" w:rsidRPr="003D7A20" w:rsidRDefault="0075184C" w:rsidP="00455F27">
            <w:pPr>
              <w:jc w:val="center"/>
            </w:pPr>
            <w:r w:rsidRPr="003D7A20">
              <w:t>4</w:t>
            </w:r>
            <w:r w:rsidR="00CD2B3F">
              <w:t>4</w:t>
            </w:r>
            <w:r w:rsidRPr="003D7A20">
              <w:t>%</w:t>
            </w:r>
          </w:p>
        </w:tc>
        <w:tc>
          <w:tcPr>
            <w:tcW w:w="1435" w:type="dxa"/>
          </w:tcPr>
          <w:p w14:paraId="41382482" w14:textId="77777777" w:rsidR="0075184C" w:rsidRPr="003D7A20" w:rsidRDefault="0075184C" w:rsidP="00455F27">
            <w:pPr>
              <w:jc w:val="center"/>
            </w:pPr>
            <w:r w:rsidRPr="003D7A20">
              <w:t>38</w:t>
            </w:r>
          </w:p>
        </w:tc>
      </w:tr>
      <w:tr w:rsidR="0075184C" w14:paraId="6E689BCE" w14:textId="77777777" w:rsidTr="00455F27">
        <w:tc>
          <w:tcPr>
            <w:tcW w:w="6385" w:type="dxa"/>
          </w:tcPr>
          <w:p w14:paraId="4784724B" w14:textId="77777777" w:rsidR="0075184C" w:rsidRDefault="0075184C" w:rsidP="00455F27">
            <w:r w:rsidRPr="003D7A20">
              <w:t>A one-family house attached to one or more houses</w:t>
            </w:r>
          </w:p>
        </w:tc>
        <w:tc>
          <w:tcPr>
            <w:tcW w:w="1530" w:type="dxa"/>
          </w:tcPr>
          <w:p w14:paraId="3F218A3A" w14:textId="70D428A7" w:rsidR="0075184C" w:rsidRPr="003D7A20" w:rsidRDefault="0075184C" w:rsidP="00455F27">
            <w:pPr>
              <w:jc w:val="center"/>
            </w:pPr>
            <w:r w:rsidRPr="003D7A20">
              <w:t>23%</w:t>
            </w:r>
          </w:p>
        </w:tc>
        <w:tc>
          <w:tcPr>
            <w:tcW w:w="1435" w:type="dxa"/>
          </w:tcPr>
          <w:p w14:paraId="04C0AAE4" w14:textId="77777777" w:rsidR="0075184C" w:rsidRPr="003D7A20" w:rsidRDefault="0075184C" w:rsidP="00455F27">
            <w:pPr>
              <w:jc w:val="center"/>
            </w:pPr>
            <w:r w:rsidRPr="003D7A20">
              <w:t>20</w:t>
            </w:r>
          </w:p>
        </w:tc>
      </w:tr>
      <w:tr w:rsidR="0075184C" w14:paraId="2BD8EA05" w14:textId="77777777" w:rsidTr="00455F27">
        <w:tc>
          <w:tcPr>
            <w:tcW w:w="6385" w:type="dxa"/>
          </w:tcPr>
          <w:p w14:paraId="3E2E29C5" w14:textId="77777777" w:rsidR="0075184C" w:rsidRDefault="0075184C" w:rsidP="00455F27">
            <w:r w:rsidRPr="003D7A20">
              <w:t>A building with two apartments</w:t>
            </w:r>
          </w:p>
        </w:tc>
        <w:tc>
          <w:tcPr>
            <w:tcW w:w="1530" w:type="dxa"/>
          </w:tcPr>
          <w:p w14:paraId="0C052ED4" w14:textId="3FF1E613" w:rsidR="0075184C" w:rsidRPr="003D7A20" w:rsidRDefault="0075184C" w:rsidP="00455F27">
            <w:pPr>
              <w:jc w:val="center"/>
            </w:pPr>
            <w:r w:rsidRPr="003D7A20">
              <w:t>2%</w:t>
            </w:r>
          </w:p>
        </w:tc>
        <w:tc>
          <w:tcPr>
            <w:tcW w:w="1435" w:type="dxa"/>
          </w:tcPr>
          <w:p w14:paraId="3DE240B3" w14:textId="77777777" w:rsidR="0075184C" w:rsidRPr="003D7A20" w:rsidRDefault="0075184C" w:rsidP="00455F27">
            <w:pPr>
              <w:jc w:val="center"/>
            </w:pPr>
            <w:r w:rsidRPr="003D7A20">
              <w:t>2</w:t>
            </w:r>
          </w:p>
        </w:tc>
      </w:tr>
      <w:tr w:rsidR="0075184C" w14:paraId="129B09EC" w14:textId="77777777" w:rsidTr="00455F27">
        <w:tc>
          <w:tcPr>
            <w:tcW w:w="6385" w:type="dxa"/>
          </w:tcPr>
          <w:p w14:paraId="3B96973C" w14:textId="77777777" w:rsidR="0075184C" w:rsidRDefault="0075184C" w:rsidP="00455F27">
            <w:r w:rsidRPr="003D7A20">
              <w:t>A building with three or four apartments</w:t>
            </w:r>
          </w:p>
        </w:tc>
        <w:tc>
          <w:tcPr>
            <w:tcW w:w="1530" w:type="dxa"/>
          </w:tcPr>
          <w:p w14:paraId="1B34B556" w14:textId="74F94004" w:rsidR="0075184C" w:rsidRPr="003D7A20" w:rsidRDefault="0075184C" w:rsidP="00455F27">
            <w:pPr>
              <w:jc w:val="center"/>
            </w:pPr>
            <w:r w:rsidRPr="003D7A20">
              <w:t>2%</w:t>
            </w:r>
          </w:p>
        </w:tc>
        <w:tc>
          <w:tcPr>
            <w:tcW w:w="1435" w:type="dxa"/>
          </w:tcPr>
          <w:p w14:paraId="501D643B" w14:textId="77777777" w:rsidR="0075184C" w:rsidRPr="003D7A20" w:rsidRDefault="0075184C" w:rsidP="00455F27">
            <w:pPr>
              <w:jc w:val="center"/>
            </w:pPr>
            <w:r w:rsidRPr="003D7A20">
              <w:t>2</w:t>
            </w:r>
          </w:p>
        </w:tc>
      </w:tr>
      <w:tr w:rsidR="0075184C" w14:paraId="26B6EFBA" w14:textId="77777777" w:rsidTr="00455F27">
        <w:tc>
          <w:tcPr>
            <w:tcW w:w="6385" w:type="dxa"/>
          </w:tcPr>
          <w:p w14:paraId="60D85815" w14:textId="77777777" w:rsidR="0075184C" w:rsidRDefault="0075184C" w:rsidP="00455F27">
            <w:r w:rsidRPr="003D7A20">
              <w:t>A building with five to nine apartments</w:t>
            </w:r>
          </w:p>
        </w:tc>
        <w:tc>
          <w:tcPr>
            <w:tcW w:w="1530" w:type="dxa"/>
          </w:tcPr>
          <w:p w14:paraId="66B8040E" w14:textId="748698E4" w:rsidR="0075184C" w:rsidRPr="003D7A20" w:rsidRDefault="00CD2B3F" w:rsidP="00455F27">
            <w:pPr>
              <w:jc w:val="center"/>
            </w:pPr>
            <w:r>
              <w:t>6</w:t>
            </w:r>
            <w:r w:rsidR="0075184C" w:rsidRPr="003D7A20">
              <w:t>%</w:t>
            </w:r>
          </w:p>
        </w:tc>
        <w:tc>
          <w:tcPr>
            <w:tcW w:w="1435" w:type="dxa"/>
          </w:tcPr>
          <w:p w14:paraId="3C80728A" w14:textId="77777777" w:rsidR="0075184C" w:rsidRPr="003D7A20" w:rsidRDefault="0075184C" w:rsidP="00455F27">
            <w:pPr>
              <w:jc w:val="center"/>
            </w:pPr>
            <w:r w:rsidRPr="003D7A20">
              <w:t>5</w:t>
            </w:r>
          </w:p>
        </w:tc>
      </w:tr>
      <w:tr w:rsidR="0075184C" w14:paraId="23D1CCEA" w14:textId="77777777" w:rsidTr="00455F27">
        <w:tc>
          <w:tcPr>
            <w:tcW w:w="6385" w:type="dxa"/>
          </w:tcPr>
          <w:p w14:paraId="53177302" w14:textId="77777777" w:rsidR="0075184C" w:rsidRDefault="0075184C" w:rsidP="00455F27">
            <w:r w:rsidRPr="003D7A20">
              <w:t>A building with 10 or more apartments</w:t>
            </w:r>
          </w:p>
        </w:tc>
        <w:tc>
          <w:tcPr>
            <w:tcW w:w="1530" w:type="dxa"/>
          </w:tcPr>
          <w:p w14:paraId="45A3F5A8" w14:textId="54BD59F7" w:rsidR="0075184C" w:rsidRPr="003D7A20" w:rsidRDefault="0075184C" w:rsidP="00455F27">
            <w:pPr>
              <w:jc w:val="center"/>
            </w:pPr>
            <w:r w:rsidRPr="003D7A20">
              <w:t>1</w:t>
            </w:r>
            <w:r w:rsidR="00CD2B3F">
              <w:t>4</w:t>
            </w:r>
            <w:r w:rsidRPr="003D7A20">
              <w:t>%</w:t>
            </w:r>
          </w:p>
        </w:tc>
        <w:tc>
          <w:tcPr>
            <w:tcW w:w="1435" w:type="dxa"/>
          </w:tcPr>
          <w:p w14:paraId="3E141762" w14:textId="77777777" w:rsidR="0075184C" w:rsidRPr="003D7A20" w:rsidRDefault="0075184C" w:rsidP="00455F27">
            <w:pPr>
              <w:jc w:val="center"/>
            </w:pPr>
            <w:r w:rsidRPr="003D7A20">
              <w:t>12</w:t>
            </w:r>
          </w:p>
        </w:tc>
      </w:tr>
      <w:tr w:rsidR="0075184C" w14:paraId="0EF11C17" w14:textId="77777777" w:rsidTr="00455F27">
        <w:tc>
          <w:tcPr>
            <w:tcW w:w="6385" w:type="dxa"/>
          </w:tcPr>
          <w:p w14:paraId="42AEFD55" w14:textId="77777777" w:rsidR="0075184C" w:rsidRDefault="0075184C" w:rsidP="00455F27">
            <w:r w:rsidRPr="003D7A20">
              <w:t>A multiple family house detached from any other house</w:t>
            </w:r>
          </w:p>
        </w:tc>
        <w:tc>
          <w:tcPr>
            <w:tcW w:w="1530" w:type="dxa"/>
          </w:tcPr>
          <w:p w14:paraId="4E3974ED" w14:textId="543192F8" w:rsidR="0075184C" w:rsidRPr="003D7A20" w:rsidRDefault="0075184C" w:rsidP="00455F27">
            <w:pPr>
              <w:jc w:val="center"/>
            </w:pPr>
            <w:r w:rsidRPr="003D7A20">
              <w:t>2%</w:t>
            </w:r>
          </w:p>
        </w:tc>
        <w:tc>
          <w:tcPr>
            <w:tcW w:w="1435" w:type="dxa"/>
          </w:tcPr>
          <w:p w14:paraId="0D479A24" w14:textId="77777777" w:rsidR="0075184C" w:rsidRPr="003D7A20" w:rsidRDefault="0075184C" w:rsidP="00455F27">
            <w:pPr>
              <w:jc w:val="center"/>
            </w:pPr>
            <w:r w:rsidRPr="003D7A20">
              <w:t>2</w:t>
            </w:r>
          </w:p>
        </w:tc>
      </w:tr>
      <w:tr w:rsidR="0075184C" w14:paraId="4621EB1F" w14:textId="77777777" w:rsidTr="00455F27">
        <w:tc>
          <w:tcPr>
            <w:tcW w:w="6385" w:type="dxa"/>
          </w:tcPr>
          <w:p w14:paraId="52CF5CFF" w14:textId="77777777" w:rsidR="0075184C" w:rsidRPr="003D7A20" w:rsidRDefault="0075184C" w:rsidP="00455F27">
            <w:r w:rsidRPr="003D7A20">
              <w:t>A multiple family house attached to one or more houses</w:t>
            </w:r>
          </w:p>
        </w:tc>
        <w:tc>
          <w:tcPr>
            <w:tcW w:w="1530" w:type="dxa"/>
          </w:tcPr>
          <w:p w14:paraId="782F76C7" w14:textId="275C6BFC" w:rsidR="0075184C" w:rsidRPr="003D7A20" w:rsidRDefault="0075184C" w:rsidP="00455F27">
            <w:pPr>
              <w:jc w:val="center"/>
            </w:pPr>
            <w:r w:rsidRPr="003D7A20">
              <w:t>1%</w:t>
            </w:r>
          </w:p>
        </w:tc>
        <w:tc>
          <w:tcPr>
            <w:tcW w:w="1435" w:type="dxa"/>
          </w:tcPr>
          <w:p w14:paraId="4FECAFD2" w14:textId="77777777" w:rsidR="0075184C" w:rsidRPr="003D7A20" w:rsidRDefault="0075184C" w:rsidP="00455F27">
            <w:pPr>
              <w:jc w:val="center"/>
            </w:pPr>
            <w:r w:rsidRPr="003D7A20">
              <w:t>1</w:t>
            </w:r>
          </w:p>
        </w:tc>
      </w:tr>
      <w:tr w:rsidR="0075184C" w14:paraId="6413F328" w14:textId="77777777" w:rsidTr="00455F27">
        <w:tc>
          <w:tcPr>
            <w:tcW w:w="6385" w:type="dxa"/>
          </w:tcPr>
          <w:p w14:paraId="1E45EA51" w14:textId="77777777" w:rsidR="0075184C" w:rsidRPr="003D7A20" w:rsidRDefault="0075184C" w:rsidP="00455F27">
            <w:r w:rsidRPr="003D7A20">
              <w:t>Supported living or group home</w:t>
            </w:r>
          </w:p>
        </w:tc>
        <w:tc>
          <w:tcPr>
            <w:tcW w:w="1530" w:type="dxa"/>
          </w:tcPr>
          <w:p w14:paraId="7B3AE809" w14:textId="60B64F5B" w:rsidR="0075184C" w:rsidRPr="003D7A20" w:rsidRDefault="0075184C" w:rsidP="00455F27">
            <w:pPr>
              <w:jc w:val="center"/>
            </w:pPr>
            <w:r w:rsidRPr="003D7A20">
              <w:t>3%</w:t>
            </w:r>
          </w:p>
        </w:tc>
        <w:tc>
          <w:tcPr>
            <w:tcW w:w="1435" w:type="dxa"/>
          </w:tcPr>
          <w:p w14:paraId="1DE48D78" w14:textId="77777777" w:rsidR="0075184C" w:rsidRPr="003D7A20" w:rsidRDefault="0075184C" w:rsidP="00455F27">
            <w:pPr>
              <w:jc w:val="center"/>
            </w:pPr>
            <w:r w:rsidRPr="003D7A20">
              <w:t>3</w:t>
            </w:r>
          </w:p>
        </w:tc>
      </w:tr>
      <w:tr w:rsidR="0075184C" w14:paraId="673365E0" w14:textId="77777777" w:rsidTr="00455F27">
        <w:tc>
          <w:tcPr>
            <w:tcW w:w="6385" w:type="dxa"/>
          </w:tcPr>
          <w:p w14:paraId="6C643911" w14:textId="77777777" w:rsidR="0075184C" w:rsidRPr="003D7A20" w:rsidRDefault="0075184C" w:rsidP="00455F27">
            <w:r w:rsidRPr="003D7A20">
              <w:t>Mobile home</w:t>
            </w:r>
          </w:p>
        </w:tc>
        <w:tc>
          <w:tcPr>
            <w:tcW w:w="1530" w:type="dxa"/>
          </w:tcPr>
          <w:p w14:paraId="5BEE44D3" w14:textId="119096FC" w:rsidR="0075184C" w:rsidRPr="003D7A20" w:rsidRDefault="0075184C" w:rsidP="00455F27">
            <w:pPr>
              <w:jc w:val="center"/>
            </w:pPr>
            <w:r w:rsidRPr="003D7A20">
              <w:t>1%</w:t>
            </w:r>
          </w:p>
        </w:tc>
        <w:tc>
          <w:tcPr>
            <w:tcW w:w="1435" w:type="dxa"/>
          </w:tcPr>
          <w:p w14:paraId="5ED33209" w14:textId="77777777" w:rsidR="0075184C" w:rsidRPr="003D7A20" w:rsidRDefault="0075184C" w:rsidP="00455F27">
            <w:pPr>
              <w:jc w:val="center"/>
            </w:pPr>
            <w:r w:rsidRPr="003D7A20">
              <w:t>1</w:t>
            </w:r>
          </w:p>
        </w:tc>
      </w:tr>
      <w:tr w:rsidR="0075184C" w14:paraId="64BC04BA" w14:textId="77777777" w:rsidTr="00455F27">
        <w:tc>
          <w:tcPr>
            <w:tcW w:w="6385" w:type="dxa"/>
          </w:tcPr>
          <w:p w14:paraId="39D81DB7" w14:textId="77777777" w:rsidR="0075184C" w:rsidRPr="003D7A20" w:rsidRDefault="0075184C" w:rsidP="00455F27">
            <w:r w:rsidRPr="003D7A20">
              <w:t>Other (Please specify.)</w:t>
            </w:r>
          </w:p>
        </w:tc>
        <w:tc>
          <w:tcPr>
            <w:tcW w:w="1530" w:type="dxa"/>
          </w:tcPr>
          <w:p w14:paraId="32F8B911" w14:textId="5FFDDBC7" w:rsidR="0075184C" w:rsidRPr="003D7A20" w:rsidRDefault="0075184C" w:rsidP="00455F27">
            <w:pPr>
              <w:jc w:val="center"/>
            </w:pPr>
            <w:r w:rsidRPr="003D7A20">
              <w:t>1%</w:t>
            </w:r>
          </w:p>
        </w:tc>
        <w:tc>
          <w:tcPr>
            <w:tcW w:w="1435" w:type="dxa"/>
          </w:tcPr>
          <w:p w14:paraId="0AE094E0" w14:textId="77777777" w:rsidR="0075184C" w:rsidRPr="003D7A20" w:rsidRDefault="0075184C" w:rsidP="00082B88">
            <w:pPr>
              <w:keepNext/>
              <w:jc w:val="center"/>
            </w:pPr>
            <w:r w:rsidRPr="003D7A20">
              <w:t>1</w:t>
            </w:r>
          </w:p>
        </w:tc>
      </w:tr>
    </w:tbl>
    <w:p w14:paraId="765EDD13" w14:textId="41ACF426" w:rsidR="00090D08" w:rsidRDefault="00090D08" w:rsidP="00090D08">
      <w:pPr>
        <w:pStyle w:val="Caption"/>
        <w:keepNext/>
        <w:jc w:val="center"/>
      </w:pPr>
      <w:r>
        <w:t xml:space="preserve">Table </w:t>
      </w:r>
      <w:r w:rsidR="006C604C">
        <w:fldChar w:fldCharType="begin"/>
      </w:r>
      <w:r w:rsidR="006C604C">
        <w:instrText xml:space="preserve"> SEQ Table \* ARABIC </w:instrText>
      </w:r>
      <w:r w:rsidR="006C604C">
        <w:fldChar w:fldCharType="separate"/>
      </w:r>
      <w:r w:rsidR="00BD618B">
        <w:rPr>
          <w:noProof/>
        </w:rPr>
        <w:t>2</w:t>
      </w:r>
      <w:r w:rsidR="006C604C">
        <w:rPr>
          <w:noProof/>
        </w:rPr>
        <w:fldChar w:fldCharType="end"/>
      </w:r>
      <w:r>
        <w:t xml:space="preserve">. </w:t>
      </w:r>
      <w:r w:rsidRPr="00090D08">
        <w:rPr>
          <w:i w:val="0"/>
        </w:rPr>
        <w:t>Distribution of Residential Living Status for ACOs</w:t>
      </w:r>
    </w:p>
    <w:tbl>
      <w:tblPr>
        <w:tblStyle w:val="TableGrid"/>
        <w:tblpPr w:leftFromText="187" w:rightFromText="187" w:bottomFromText="288" w:vertAnchor="text" w:tblpY="1"/>
        <w:tblOverlap w:val="never"/>
        <w:tblW w:w="0" w:type="auto"/>
        <w:tblLook w:val="04A0" w:firstRow="1" w:lastRow="0" w:firstColumn="1" w:lastColumn="0" w:noHBand="0" w:noVBand="1"/>
        <w:tblCaption w:val="Table 2: Distribution of Residential Living Status for ACOs"/>
        <w:tblDescription w:val="This table shows percentages and counts of ACO respondents' residential living status across various response choices."/>
      </w:tblPr>
      <w:tblGrid>
        <w:gridCol w:w="6385"/>
        <w:gridCol w:w="1530"/>
        <w:gridCol w:w="1435"/>
      </w:tblGrid>
      <w:tr w:rsidR="0075184C" w:rsidRPr="00370BB7" w14:paraId="7DA8ED7D" w14:textId="77777777" w:rsidTr="00805AB1">
        <w:trPr>
          <w:tblHeader/>
        </w:trPr>
        <w:tc>
          <w:tcPr>
            <w:tcW w:w="6385" w:type="dxa"/>
            <w:shd w:val="clear" w:color="auto" w:fill="000000" w:themeFill="text1"/>
            <w:vAlign w:val="center"/>
          </w:tcPr>
          <w:p w14:paraId="184747D7" w14:textId="17CF30CE" w:rsidR="0075184C" w:rsidRPr="00370BB7" w:rsidRDefault="00EB6639" w:rsidP="00AF1FD9">
            <w:pPr>
              <w:jc w:val="center"/>
              <w:rPr>
                <w:b/>
                <w:color w:val="FFFFFF" w:themeColor="background1"/>
              </w:rPr>
            </w:pPr>
            <w:r>
              <w:rPr>
                <w:b/>
                <w:color w:val="FFFFFF" w:themeColor="background1"/>
              </w:rPr>
              <w:t>Type of Housing</w:t>
            </w:r>
          </w:p>
        </w:tc>
        <w:tc>
          <w:tcPr>
            <w:tcW w:w="1530" w:type="dxa"/>
            <w:shd w:val="clear" w:color="auto" w:fill="000000" w:themeFill="text1"/>
            <w:vAlign w:val="center"/>
          </w:tcPr>
          <w:p w14:paraId="019BBE61" w14:textId="77777777" w:rsidR="0075184C" w:rsidRPr="00370BB7" w:rsidRDefault="0075184C" w:rsidP="00AF1FD9">
            <w:pPr>
              <w:jc w:val="center"/>
              <w:rPr>
                <w:b/>
                <w:color w:val="FFFFFF" w:themeColor="background1"/>
              </w:rPr>
            </w:pPr>
            <w:r w:rsidRPr="00370BB7">
              <w:rPr>
                <w:b/>
                <w:color w:val="FFFFFF" w:themeColor="background1"/>
              </w:rPr>
              <w:t>Respondent Percentage</w:t>
            </w:r>
          </w:p>
        </w:tc>
        <w:tc>
          <w:tcPr>
            <w:tcW w:w="1435" w:type="dxa"/>
            <w:shd w:val="clear" w:color="auto" w:fill="000000" w:themeFill="text1"/>
            <w:vAlign w:val="center"/>
          </w:tcPr>
          <w:p w14:paraId="4EE3365A" w14:textId="77777777" w:rsidR="0075184C" w:rsidRPr="00370BB7" w:rsidRDefault="0075184C" w:rsidP="00AF1FD9">
            <w:pPr>
              <w:jc w:val="center"/>
              <w:rPr>
                <w:b/>
                <w:color w:val="FFFFFF" w:themeColor="background1"/>
              </w:rPr>
            </w:pPr>
            <w:r w:rsidRPr="00370BB7">
              <w:rPr>
                <w:b/>
                <w:color w:val="FFFFFF" w:themeColor="background1"/>
              </w:rPr>
              <w:t>Respondent Count</w:t>
            </w:r>
          </w:p>
        </w:tc>
      </w:tr>
      <w:tr w:rsidR="0075184C" w14:paraId="571A55C6" w14:textId="77777777" w:rsidTr="00805AB1">
        <w:tc>
          <w:tcPr>
            <w:tcW w:w="6385" w:type="dxa"/>
          </w:tcPr>
          <w:p w14:paraId="54ABD510" w14:textId="77777777" w:rsidR="0075184C" w:rsidRDefault="0075184C" w:rsidP="00AF1FD9">
            <w:r w:rsidRPr="003D7A20">
              <w:t>A one-family house detached from any other house</w:t>
            </w:r>
          </w:p>
        </w:tc>
        <w:tc>
          <w:tcPr>
            <w:tcW w:w="1530" w:type="dxa"/>
          </w:tcPr>
          <w:p w14:paraId="5F199C01" w14:textId="4FF971E1" w:rsidR="0075184C" w:rsidRPr="003D7A20" w:rsidRDefault="0075184C" w:rsidP="00AF1FD9">
            <w:pPr>
              <w:jc w:val="center"/>
            </w:pPr>
            <w:r w:rsidRPr="003D7A20">
              <w:t>50%</w:t>
            </w:r>
          </w:p>
        </w:tc>
        <w:tc>
          <w:tcPr>
            <w:tcW w:w="1435" w:type="dxa"/>
          </w:tcPr>
          <w:p w14:paraId="7482C05B" w14:textId="77777777" w:rsidR="0075184C" w:rsidRPr="003D7A20" w:rsidRDefault="0075184C" w:rsidP="00AF1FD9">
            <w:pPr>
              <w:jc w:val="center"/>
            </w:pPr>
            <w:r w:rsidRPr="003D7A20">
              <w:t>89</w:t>
            </w:r>
          </w:p>
        </w:tc>
      </w:tr>
      <w:tr w:rsidR="0075184C" w14:paraId="06E42F2F" w14:textId="77777777" w:rsidTr="00805AB1">
        <w:tc>
          <w:tcPr>
            <w:tcW w:w="6385" w:type="dxa"/>
          </w:tcPr>
          <w:p w14:paraId="28596A5E" w14:textId="77777777" w:rsidR="0075184C" w:rsidRDefault="0075184C" w:rsidP="00AF1FD9">
            <w:r w:rsidRPr="003D7A20">
              <w:t>A one-family house attached to one or more houses</w:t>
            </w:r>
          </w:p>
        </w:tc>
        <w:tc>
          <w:tcPr>
            <w:tcW w:w="1530" w:type="dxa"/>
          </w:tcPr>
          <w:p w14:paraId="09525F09" w14:textId="0EA48104" w:rsidR="0075184C" w:rsidRPr="003D7A20" w:rsidRDefault="0075184C" w:rsidP="00AF1FD9">
            <w:pPr>
              <w:jc w:val="center"/>
            </w:pPr>
            <w:r w:rsidRPr="003D7A20">
              <w:t>11%</w:t>
            </w:r>
          </w:p>
        </w:tc>
        <w:tc>
          <w:tcPr>
            <w:tcW w:w="1435" w:type="dxa"/>
          </w:tcPr>
          <w:p w14:paraId="3814894D" w14:textId="77777777" w:rsidR="0075184C" w:rsidRPr="003D7A20" w:rsidRDefault="0075184C" w:rsidP="00AF1FD9">
            <w:pPr>
              <w:jc w:val="center"/>
            </w:pPr>
            <w:r w:rsidRPr="003D7A20">
              <w:t>20</w:t>
            </w:r>
          </w:p>
        </w:tc>
      </w:tr>
      <w:tr w:rsidR="0075184C" w14:paraId="4272929E" w14:textId="77777777" w:rsidTr="00805AB1">
        <w:tc>
          <w:tcPr>
            <w:tcW w:w="6385" w:type="dxa"/>
          </w:tcPr>
          <w:p w14:paraId="7AF2DA3D" w14:textId="77777777" w:rsidR="0075184C" w:rsidRDefault="0075184C" w:rsidP="00AF1FD9">
            <w:r w:rsidRPr="003D7A20">
              <w:t>A building with two apartments</w:t>
            </w:r>
          </w:p>
        </w:tc>
        <w:tc>
          <w:tcPr>
            <w:tcW w:w="1530" w:type="dxa"/>
          </w:tcPr>
          <w:p w14:paraId="51AB50E4" w14:textId="3986E4A4" w:rsidR="0075184C" w:rsidRPr="003D7A20" w:rsidRDefault="0075184C" w:rsidP="00AF1FD9">
            <w:pPr>
              <w:jc w:val="center"/>
            </w:pPr>
            <w:r w:rsidRPr="003D7A20">
              <w:t>2%</w:t>
            </w:r>
          </w:p>
        </w:tc>
        <w:tc>
          <w:tcPr>
            <w:tcW w:w="1435" w:type="dxa"/>
          </w:tcPr>
          <w:p w14:paraId="344B290C" w14:textId="77777777" w:rsidR="0075184C" w:rsidRPr="003D7A20" w:rsidRDefault="0075184C" w:rsidP="00AF1FD9">
            <w:pPr>
              <w:jc w:val="center"/>
            </w:pPr>
            <w:r w:rsidRPr="003D7A20">
              <w:t>4</w:t>
            </w:r>
          </w:p>
        </w:tc>
      </w:tr>
      <w:tr w:rsidR="0075184C" w14:paraId="4DECC1DD" w14:textId="77777777" w:rsidTr="00805AB1">
        <w:tc>
          <w:tcPr>
            <w:tcW w:w="6385" w:type="dxa"/>
          </w:tcPr>
          <w:p w14:paraId="406F8865" w14:textId="77777777" w:rsidR="0075184C" w:rsidRDefault="0075184C" w:rsidP="00AF1FD9">
            <w:r w:rsidRPr="003D7A20">
              <w:t>A building with three or four apartments</w:t>
            </w:r>
          </w:p>
        </w:tc>
        <w:tc>
          <w:tcPr>
            <w:tcW w:w="1530" w:type="dxa"/>
          </w:tcPr>
          <w:p w14:paraId="11D07218" w14:textId="1F34B96A" w:rsidR="0075184C" w:rsidRPr="003D7A20" w:rsidRDefault="0075184C" w:rsidP="00AF1FD9">
            <w:pPr>
              <w:jc w:val="center"/>
            </w:pPr>
            <w:r w:rsidRPr="003D7A20">
              <w:t>1%</w:t>
            </w:r>
          </w:p>
        </w:tc>
        <w:tc>
          <w:tcPr>
            <w:tcW w:w="1435" w:type="dxa"/>
          </w:tcPr>
          <w:p w14:paraId="04B5CFAD" w14:textId="77777777" w:rsidR="0075184C" w:rsidRPr="003D7A20" w:rsidRDefault="0075184C" w:rsidP="00AF1FD9">
            <w:pPr>
              <w:jc w:val="center"/>
            </w:pPr>
            <w:r w:rsidRPr="003D7A20">
              <w:t>2</w:t>
            </w:r>
          </w:p>
        </w:tc>
      </w:tr>
      <w:tr w:rsidR="0075184C" w14:paraId="5B2F357B" w14:textId="77777777" w:rsidTr="00805AB1">
        <w:tc>
          <w:tcPr>
            <w:tcW w:w="6385" w:type="dxa"/>
          </w:tcPr>
          <w:p w14:paraId="0ED626F6" w14:textId="77777777" w:rsidR="0075184C" w:rsidRDefault="0075184C" w:rsidP="00AF1FD9">
            <w:r w:rsidRPr="003D7A20">
              <w:t>A building with five to nine apartments</w:t>
            </w:r>
          </w:p>
        </w:tc>
        <w:tc>
          <w:tcPr>
            <w:tcW w:w="1530" w:type="dxa"/>
          </w:tcPr>
          <w:p w14:paraId="48A15F84" w14:textId="0F76EF14" w:rsidR="0075184C" w:rsidRPr="003D7A20" w:rsidRDefault="0075184C" w:rsidP="00AF1FD9">
            <w:pPr>
              <w:jc w:val="center"/>
            </w:pPr>
            <w:r w:rsidRPr="003D7A20">
              <w:t>3%</w:t>
            </w:r>
          </w:p>
        </w:tc>
        <w:tc>
          <w:tcPr>
            <w:tcW w:w="1435" w:type="dxa"/>
          </w:tcPr>
          <w:p w14:paraId="71DA34F9" w14:textId="77777777" w:rsidR="0075184C" w:rsidRPr="003D7A20" w:rsidRDefault="0075184C" w:rsidP="00AF1FD9">
            <w:pPr>
              <w:jc w:val="center"/>
            </w:pPr>
            <w:r w:rsidRPr="003D7A20">
              <w:t>6</w:t>
            </w:r>
          </w:p>
        </w:tc>
      </w:tr>
      <w:tr w:rsidR="0075184C" w14:paraId="21302D23" w14:textId="77777777" w:rsidTr="00805AB1">
        <w:tc>
          <w:tcPr>
            <w:tcW w:w="6385" w:type="dxa"/>
          </w:tcPr>
          <w:p w14:paraId="3D23A7CB" w14:textId="77777777" w:rsidR="0075184C" w:rsidRDefault="0075184C" w:rsidP="00AF1FD9">
            <w:r w:rsidRPr="003D7A20">
              <w:t>A building with 10 or more apartments</w:t>
            </w:r>
          </w:p>
        </w:tc>
        <w:tc>
          <w:tcPr>
            <w:tcW w:w="1530" w:type="dxa"/>
          </w:tcPr>
          <w:p w14:paraId="1BE8F71B" w14:textId="280D849B" w:rsidR="0075184C" w:rsidRPr="003D7A20" w:rsidRDefault="00CD2B3F" w:rsidP="00AF1FD9">
            <w:pPr>
              <w:jc w:val="center"/>
            </w:pPr>
            <w:r>
              <w:t>4</w:t>
            </w:r>
            <w:r w:rsidR="0075184C" w:rsidRPr="003D7A20">
              <w:t>%</w:t>
            </w:r>
          </w:p>
        </w:tc>
        <w:tc>
          <w:tcPr>
            <w:tcW w:w="1435" w:type="dxa"/>
          </w:tcPr>
          <w:p w14:paraId="535C90E9" w14:textId="77777777" w:rsidR="0075184C" w:rsidRPr="003D7A20" w:rsidRDefault="0075184C" w:rsidP="00AF1FD9">
            <w:pPr>
              <w:jc w:val="center"/>
            </w:pPr>
            <w:r w:rsidRPr="003D7A20">
              <w:t>7</w:t>
            </w:r>
          </w:p>
        </w:tc>
      </w:tr>
      <w:tr w:rsidR="0075184C" w14:paraId="0307B456" w14:textId="77777777" w:rsidTr="00805AB1">
        <w:tc>
          <w:tcPr>
            <w:tcW w:w="6385" w:type="dxa"/>
          </w:tcPr>
          <w:p w14:paraId="5040602B" w14:textId="77777777" w:rsidR="0075184C" w:rsidRDefault="0075184C" w:rsidP="00AF1FD9">
            <w:r w:rsidRPr="003D7A20">
              <w:t>A multiple family house detached from any other house</w:t>
            </w:r>
          </w:p>
        </w:tc>
        <w:tc>
          <w:tcPr>
            <w:tcW w:w="1530" w:type="dxa"/>
          </w:tcPr>
          <w:p w14:paraId="50B64443" w14:textId="52670E9A" w:rsidR="0075184C" w:rsidRPr="003D7A20" w:rsidRDefault="0075184C" w:rsidP="00AF1FD9">
            <w:pPr>
              <w:jc w:val="center"/>
            </w:pPr>
            <w:r w:rsidRPr="003D7A20">
              <w:t>1%</w:t>
            </w:r>
          </w:p>
        </w:tc>
        <w:tc>
          <w:tcPr>
            <w:tcW w:w="1435" w:type="dxa"/>
          </w:tcPr>
          <w:p w14:paraId="7B6594BB" w14:textId="77777777" w:rsidR="0075184C" w:rsidRPr="003D7A20" w:rsidRDefault="0075184C" w:rsidP="00AF1FD9">
            <w:pPr>
              <w:jc w:val="center"/>
            </w:pPr>
            <w:r w:rsidRPr="003D7A20">
              <w:t>2</w:t>
            </w:r>
          </w:p>
        </w:tc>
      </w:tr>
      <w:tr w:rsidR="0075184C" w14:paraId="54821231" w14:textId="77777777" w:rsidTr="00805AB1">
        <w:tc>
          <w:tcPr>
            <w:tcW w:w="6385" w:type="dxa"/>
          </w:tcPr>
          <w:p w14:paraId="599DF805" w14:textId="77777777" w:rsidR="0075184C" w:rsidRPr="003D7A20" w:rsidRDefault="0075184C" w:rsidP="00AF1FD9">
            <w:r w:rsidRPr="003D7A20">
              <w:t>A multiple family house attached to one or more houses</w:t>
            </w:r>
          </w:p>
        </w:tc>
        <w:tc>
          <w:tcPr>
            <w:tcW w:w="1530" w:type="dxa"/>
          </w:tcPr>
          <w:p w14:paraId="1C40BB2D" w14:textId="02DA1ABD" w:rsidR="0075184C" w:rsidRPr="003D7A20" w:rsidRDefault="0075184C" w:rsidP="00AF1FD9">
            <w:pPr>
              <w:jc w:val="center"/>
            </w:pPr>
            <w:r w:rsidRPr="003D7A20">
              <w:t>2%</w:t>
            </w:r>
          </w:p>
        </w:tc>
        <w:tc>
          <w:tcPr>
            <w:tcW w:w="1435" w:type="dxa"/>
          </w:tcPr>
          <w:p w14:paraId="7A597247" w14:textId="77777777" w:rsidR="0075184C" w:rsidRPr="003D7A20" w:rsidRDefault="0075184C" w:rsidP="00AF1FD9">
            <w:pPr>
              <w:jc w:val="center"/>
            </w:pPr>
            <w:r w:rsidRPr="003D7A20">
              <w:t>4</w:t>
            </w:r>
          </w:p>
        </w:tc>
      </w:tr>
      <w:tr w:rsidR="0075184C" w14:paraId="0FFEC1C0" w14:textId="77777777" w:rsidTr="00805AB1">
        <w:tc>
          <w:tcPr>
            <w:tcW w:w="6385" w:type="dxa"/>
          </w:tcPr>
          <w:p w14:paraId="1D00BA25" w14:textId="77777777" w:rsidR="0075184C" w:rsidRPr="003D7A20" w:rsidRDefault="0075184C" w:rsidP="00AF1FD9">
            <w:r w:rsidRPr="003D7A20">
              <w:t>Supported living or group home</w:t>
            </w:r>
          </w:p>
        </w:tc>
        <w:tc>
          <w:tcPr>
            <w:tcW w:w="1530" w:type="dxa"/>
          </w:tcPr>
          <w:p w14:paraId="3FF1D6D6" w14:textId="4E929984" w:rsidR="0075184C" w:rsidRPr="003D7A20" w:rsidRDefault="0075184C" w:rsidP="00AF1FD9">
            <w:pPr>
              <w:jc w:val="center"/>
            </w:pPr>
            <w:r w:rsidRPr="003D7A20">
              <w:t>1</w:t>
            </w:r>
            <w:r w:rsidR="006A0F8F">
              <w:t>6</w:t>
            </w:r>
            <w:r w:rsidRPr="003D7A20">
              <w:t>%</w:t>
            </w:r>
          </w:p>
        </w:tc>
        <w:tc>
          <w:tcPr>
            <w:tcW w:w="1435" w:type="dxa"/>
          </w:tcPr>
          <w:p w14:paraId="3BCBAED4" w14:textId="77777777" w:rsidR="0075184C" w:rsidRPr="003D7A20" w:rsidRDefault="0075184C" w:rsidP="00AF1FD9">
            <w:pPr>
              <w:jc w:val="center"/>
            </w:pPr>
            <w:r w:rsidRPr="003D7A20">
              <w:t>28</w:t>
            </w:r>
          </w:p>
        </w:tc>
      </w:tr>
      <w:tr w:rsidR="0075184C" w14:paraId="2DADAB66" w14:textId="77777777" w:rsidTr="00805AB1">
        <w:tc>
          <w:tcPr>
            <w:tcW w:w="6385" w:type="dxa"/>
          </w:tcPr>
          <w:p w14:paraId="3B5BA836" w14:textId="77777777" w:rsidR="0075184C" w:rsidRPr="003D7A20" w:rsidRDefault="0075184C" w:rsidP="00AF1FD9">
            <w:r w:rsidRPr="003D7A20">
              <w:t>Mobile home</w:t>
            </w:r>
          </w:p>
        </w:tc>
        <w:tc>
          <w:tcPr>
            <w:tcW w:w="1530" w:type="dxa"/>
          </w:tcPr>
          <w:p w14:paraId="4650E1B4" w14:textId="0CA69E7B" w:rsidR="0075184C" w:rsidRPr="003D7A20" w:rsidRDefault="006A0F8F" w:rsidP="00AF1FD9">
            <w:pPr>
              <w:jc w:val="center"/>
            </w:pPr>
            <w:r>
              <w:t>2</w:t>
            </w:r>
            <w:r w:rsidR="0075184C" w:rsidRPr="003D7A20">
              <w:t>%</w:t>
            </w:r>
          </w:p>
        </w:tc>
        <w:tc>
          <w:tcPr>
            <w:tcW w:w="1435" w:type="dxa"/>
          </w:tcPr>
          <w:p w14:paraId="27EF982D" w14:textId="77777777" w:rsidR="0075184C" w:rsidRPr="003D7A20" w:rsidRDefault="0075184C" w:rsidP="00AF1FD9">
            <w:pPr>
              <w:jc w:val="center"/>
            </w:pPr>
            <w:r w:rsidRPr="003D7A20">
              <w:t>3</w:t>
            </w:r>
          </w:p>
        </w:tc>
      </w:tr>
      <w:tr w:rsidR="0075184C" w14:paraId="41874373" w14:textId="77777777" w:rsidTr="00805AB1">
        <w:tc>
          <w:tcPr>
            <w:tcW w:w="6385" w:type="dxa"/>
          </w:tcPr>
          <w:p w14:paraId="7A95329B" w14:textId="77777777" w:rsidR="0075184C" w:rsidRPr="003D7A20" w:rsidRDefault="0075184C" w:rsidP="00AF1FD9">
            <w:r w:rsidRPr="003D7A20">
              <w:t>Other (Please specify.)</w:t>
            </w:r>
          </w:p>
        </w:tc>
        <w:tc>
          <w:tcPr>
            <w:tcW w:w="1530" w:type="dxa"/>
          </w:tcPr>
          <w:p w14:paraId="48C35A3F" w14:textId="02FEF1AB" w:rsidR="0075184C" w:rsidRPr="003D7A20" w:rsidRDefault="0075184C" w:rsidP="00AF1FD9">
            <w:pPr>
              <w:jc w:val="center"/>
            </w:pPr>
            <w:r w:rsidRPr="003D7A20">
              <w:t>7%</w:t>
            </w:r>
          </w:p>
        </w:tc>
        <w:tc>
          <w:tcPr>
            <w:tcW w:w="1435" w:type="dxa"/>
          </w:tcPr>
          <w:p w14:paraId="0969F922" w14:textId="77777777" w:rsidR="0075184C" w:rsidRPr="003D7A20" w:rsidRDefault="0075184C" w:rsidP="00AF1FD9">
            <w:pPr>
              <w:keepNext/>
              <w:jc w:val="center"/>
            </w:pPr>
            <w:r w:rsidRPr="003D7A20">
              <w:t>13</w:t>
            </w:r>
          </w:p>
        </w:tc>
      </w:tr>
    </w:tbl>
    <w:p w14:paraId="1719F85F" w14:textId="1C1DD125" w:rsidR="0075184C" w:rsidRDefault="000A4F8E" w:rsidP="003F6116">
      <w:r>
        <w:t xml:space="preserve">In order to </w:t>
      </w:r>
      <w:r w:rsidR="00BC53F3">
        <w:t>better understand where people</w:t>
      </w:r>
      <w:r>
        <w:t xml:space="preserve"> with</w:t>
      </w:r>
      <w:r w:rsidR="00D76A9E">
        <w:t xml:space="preserve"> disabilities or other</w:t>
      </w:r>
      <w:r>
        <w:t xml:space="preserve"> access and functional needs</w:t>
      </w:r>
      <w:r w:rsidR="00BC53F3">
        <w:t xml:space="preserve"> spent their time</w:t>
      </w:r>
      <w:r w:rsidR="003A4B41">
        <w:t xml:space="preserve"> </w:t>
      </w:r>
      <w:r w:rsidR="00BC53F3">
        <w:t>the next question on the survey asked respondents to</w:t>
      </w:r>
      <w:r w:rsidR="003F6116">
        <w:t xml:space="preserve"> indicate which floor of their residence, or the residence of the person </w:t>
      </w:r>
      <w:r w:rsidR="00E95D93">
        <w:t>for whom they were responding</w:t>
      </w:r>
      <w:r w:rsidR="003A4B41">
        <w:t xml:space="preserve"> </w:t>
      </w:r>
      <w:r w:rsidR="003F6116">
        <w:t xml:space="preserve">primarily spent </w:t>
      </w:r>
      <w:r w:rsidR="00050FA1">
        <w:t>their waking and sleeping hours</w:t>
      </w:r>
      <w:r w:rsidR="005C04D2">
        <w:t>.</w:t>
      </w:r>
      <w:r w:rsidR="003F6116">
        <w:t xml:space="preserve"> The results are displayed in </w:t>
      </w:r>
      <w:r w:rsidR="007005AD">
        <w:t>Figure</w:t>
      </w:r>
      <w:r w:rsidR="003F6116">
        <w:t xml:space="preserve"> </w:t>
      </w:r>
      <w:r w:rsidR="009C6194">
        <w:t>7</w:t>
      </w:r>
      <w:r w:rsidR="003F6116">
        <w:t xml:space="preserve">. The majority of PWDs and ACOs reported that they or the person </w:t>
      </w:r>
      <w:r w:rsidR="00E95D93">
        <w:t xml:space="preserve">for whom they were answering </w:t>
      </w:r>
      <w:r w:rsidR="003F6116">
        <w:t>spent most of their waking hours on the first floor of their residence while more PWDs reported sleeping on the first floor of their residence than the second, third, fourth, or higher levels of their residence.</w:t>
      </w:r>
      <w:r w:rsidR="00050FA1">
        <w:t xml:space="preserve"> </w:t>
      </w:r>
    </w:p>
    <w:p w14:paraId="101BB439" w14:textId="77777777" w:rsidR="00795545" w:rsidRDefault="00795545" w:rsidP="00795545">
      <w:pPr>
        <w:keepNext/>
        <w:jc w:val="center"/>
      </w:pPr>
      <w:r>
        <w:rPr>
          <w:noProof/>
        </w:rPr>
        <w:drawing>
          <wp:inline distT="0" distB="0" distL="0" distR="0" wp14:anchorId="1914E659" wp14:editId="7113E5B6">
            <wp:extent cx="5223472" cy="3136605"/>
            <wp:effectExtent l="0" t="0" r="0" b="0"/>
            <wp:docPr id="25" name="Picture 25" descr="A four-toned vertical clustered bar graph displays the percentages of PWD and ACO respondents' reported time spent during waking and sleeping hours. The total number of PWD respondents was 85, and the total number of ACO respondents was 178. For PWDs, 36% sleep on the first floor, and 55% spend their waking time on the first floor; 32% sleep on the second floor, and 18% spend their waking time on the second floor; 8% sleep on the third floor, and 7% spend their waking time on the third floor; 3% sleep on the fourth floor or higher, and 4% spend their waking time on the fourth floor or higher; 20% indicated that the sleep question did not apply their living situation, and 17% indicated that the waking time question did not apply to their living situation. For ACOs 25% sleep on the first floor, and 56% spend their waking time on the first floor; 49% sleep on the second floor, and 20% spend their waking time on the second floor; 3% sleep on the third floor, and 1% spend their waking time on the third floor; 3% sleep on the fourth floor or higher, and 3% spend their waking time on the fourth floor or higher; 20% indicated that the sleep question did not apply their living situation, and 20% indicated that the waking time question did not apply to their living situation." title="Figure 7: Time Spent During Sleeping and Waking Hours by Floor of Res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9774" cy="3206443"/>
                    </a:xfrm>
                    <a:prstGeom prst="rect">
                      <a:avLst/>
                    </a:prstGeom>
                    <a:noFill/>
                  </pic:spPr>
                </pic:pic>
              </a:graphicData>
            </a:graphic>
          </wp:inline>
        </w:drawing>
      </w:r>
    </w:p>
    <w:p w14:paraId="6424E005" w14:textId="25B5FDAD" w:rsidR="00801B17" w:rsidRDefault="00795545" w:rsidP="00795545">
      <w:pPr>
        <w:pStyle w:val="Caption"/>
        <w:jc w:val="center"/>
      </w:pPr>
      <w:r>
        <w:t xml:space="preserve">Figure </w:t>
      </w:r>
      <w:r w:rsidR="006C604C">
        <w:fldChar w:fldCharType="begin"/>
      </w:r>
      <w:r w:rsidR="006C604C">
        <w:instrText xml:space="preserve"> SEQ Figure \* ARABIC </w:instrText>
      </w:r>
      <w:r w:rsidR="006C604C">
        <w:fldChar w:fldCharType="separate"/>
      </w:r>
      <w:r w:rsidR="00C40893">
        <w:rPr>
          <w:noProof/>
        </w:rPr>
        <w:t>7</w:t>
      </w:r>
      <w:r w:rsidR="006C604C">
        <w:rPr>
          <w:noProof/>
        </w:rPr>
        <w:fldChar w:fldCharType="end"/>
      </w:r>
      <w:r>
        <w:t xml:space="preserve">. </w:t>
      </w:r>
      <w:r w:rsidRPr="00795545">
        <w:rPr>
          <w:i w:val="0"/>
        </w:rPr>
        <w:t>Time Spent During Sleeping and Waking Hours by Floor of Residence</w:t>
      </w:r>
    </w:p>
    <w:p w14:paraId="6A6DA35A" w14:textId="3ACB59E2" w:rsidR="000C5AEB" w:rsidRDefault="00523A75" w:rsidP="001C4FD3">
      <w:r>
        <w:t>Figure</w:t>
      </w:r>
      <w:r w:rsidR="003A4B41">
        <w:t>s</w:t>
      </w:r>
      <w:r>
        <w:t xml:space="preserve"> </w:t>
      </w:r>
      <w:r w:rsidR="009C6194">
        <w:t>8</w:t>
      </w:r>
      <w:r w:rsidR="003A4B41">
        <w:t xml:space="preserve"> and 9</w:t>
      </w:r>
      <w:r>
        <w:t xml:space="preserve"> display the distribution of </w:t>
      </w:r>
      <w:r w:rsidR="00D70C0A">
        <w:t>PWD</w:t>
      </w:r>
      <w:r w:rsidR="003A4B41">
        <w:t xml:space="preserve"> and ACO</w:t>
      </w:r>
      <w:r w:rsidR="00D70C0A">
        <w:t xml:space="preserve"> </w:t>
      </w:r>
      <w:r>
        <w:t>respondents’ answer to the question, “With whom do you or the person</w:t>
      </w:r>
      <w:r w:rsidR="003A4B41">
        <w:t xml:space="preserve"> </w:t>
      </w:r>
      <w:r w:rsidR="00FF121A">
        <w:t>for whom you are answering live</w:t>
      </w:r>
      <w:r>
        <w:t>?”</w:t>
      </w:r>
      <w:r w:rsidR="00D70C0A">
        <w:t xml:space="preserve"> </w:t>
      </w:r>
      <w:r>
        <w:t>Both PWD and ACO</w:t>
      </w:r>
      <w:r w:rsidR="006A0F8F">
        <w:t xml:space="preserve"> respondents</w:t>
      </w:r>
      <w:r>
        <w:t xml:space="preserve"> primarily reported that they or the person </w:t>
      </w:r>
      <w:r w:rsidR="00FF121A">
        <w:t xml:space="preserve">for whom they were answering </w:t>
      </w:r>
      <w:r>
        <w:t>lived with family members or friends.</w:t>
      </w:r>
    </w:p>
    <w:p w14:paraId="7197A34C" w14:textId="77777777" w:rsidR="001C4FD3" w:rsidRDefault="001C4FD3" w:rsidP="001C4FD3">
      <w:pPr>
        <w:keepNext/>
        <w:jc w:val="center"/>
      </w:pPr>
      <w:r>
        <w:rPr>
          <w:noProof/>
        </w:rPr>
        <w:drawing>
          <wp:inline distT="0" distB="0" distL="0" distR="0" wp14:anchorId="24ABCCE6" wp14:editId="53A61EBB">
            <wp:extent cx="3879051" cy="2569780"/>
            <wp:effectExtent l="0" t="0" r="7620" b="2540"/>
            <wp:docPr id="26" name="Picture 26" descr="A three-dimensional pie graph displays proportions of PWD respondents (N = 87), each wedge represents a different response choice and percentages for each choice are as follows: 25% I live alone, 61% Family member(s) or friend, 2% Paid staff, 6% Spouse, 3% Unrelated roommate(s), and 2% Other." title="Figure 8: Living Arrangements for PW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b="9808"/>
                    <a:stretch/>
                  </pic:blipFill>
                  <pic:spPr bwMode="auto">
                    <a:xfrm>
                      <a:off x="0" y="0"/>
                      <a:ext cx="3888167" cy="2575819"/>
                    </a:xfrm>
                    <a:prstGeom prst="rect">
                      <a:avLst/>
                    </a:prstGeom>
                    <a:noFill/>
                    <a:ln>
                      <a:noFill/>
                    </a:ln>
                    <a:extLst>
                      <a:ext uri="{53640926-AAD7-44D8-BBD7-CCE9431645EC}">
                        <a14:shadowObscured xmlns:a14="http://schemas.microsoft.com/office/drawing/2010/main"/>
                      </a:ext>
                    </a:extLst>
                  </pic:spPr>
                </pic:pic>
              </a:graphicData>
            </a:graphic>
          </wp:inline>
        </w:drawing>
      </w:r>
    </w:p>
    <w:p w14:paraId="695D8DE2" w14:textId="7B84311B" w:rsidR="00D70C0A" w:rsidRDefault="001C4FD3" w:rsidP="001C4FD3">
      <w:pPr>
        <w:pStyle w:val="Caption"/>
        <w:jc w:val="center"/>
        <w:rPr>
          <w:i w:val="0"/>
        </w:rPr>
      </w:pPr>
      <w:r>
        <w:t xml:space="preserve">Figure </w:t>
      </w:r>
      <w:r w:rsidR="006C604C">
        <w:fldChar w:fldCharType="begin"/>
      </w:r>
      <w:r w:rsidR="006C604C">
        <w:instrText xml:space="preserve"> SEQ Figure \* ARABIC </w:instrText>
      </w:r>
      <w:r w:rsidR="006C604C">
        <w:fldChar w:fldCharType="separate"/>
      </w:r>
      <w:r w:rsidR="00C40893">
        <w:rPr>
          <w:noProof/>
        </w:rPr>
        <w:t>8</w:t>
      </w:r>
      <w:r w:rsidR="006C604C">
        <w:rPr>
          <w:noProof/>
        </w:rPr>
        <w:fldChar w:fldCharType="end"/>
      </w:r>
      <w:r>
        <w:t xml:space="preserve">. </w:t>
      </w:r>
      <w:r w:rsidRPr="00796C65">
        <w:t xml:space="preserve"> </w:t>
      </w:r>
      <w:r w:rsidRPr="001C4FD3">
        <w:rPr>
          <w:i w:val="0"/>
        </w:rPr>
        <w:t>Living Arrangements for PWDs</w:t>
      </w:r>
    </w:p>
    <w:p w14:paraId="1CB55A23" w14:textId="77777777" w:rsidR="00025609" w:rsidRPr="00025609" w:rsidRDefault="00025609" w:rsidP="00025609"/>
    <w:p w14:paraId="4729324A" w14:textId="77777777" w:rsidR="001C4FD3" w:rsidRDefault="001C4FD3" w:rsidP="001C4FD3">
      <w:pPr>
        <w:keepNext/>
        <w:jc w:val="center"/>
      </w:pPr>
      <w:r>
        <w:rPr>
          <w:i/>
          <w:iCs/>
          <w:noProof/>
          <w:color w:val="44546A" w:themeColor="text2"/>
          <w:szCs w:val="18"/>
        </w:rPr>
        <w:drawing>
          <wp:inline distT="0" distB="0" distL="0" distR="0" wp14:anchorId="4A6CD6D5" wp14:editId="40EBC8BD">
            <wp:extent cx="3958659" cy="2147776"/>
            <wp:effectExtent l="0" t="0" r="3810" b="5080"/>
            <wp:docPr id="27" name="Picture 27" descr="A three-dimensional pie graph displays proportions of ACO respondents (N = 177), each wedge represents a different response choice and percentages for each choice are as follows: 11% They live alone, 63% Family member(s) or friend, 11% Paid staff, 6% Spouse, 9% Unrelated roommate(s), and 6% Other." title="Figure 9: Living Arrangements for A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4080" cy="2161568"/>
                    </a:xfrm>
                    <a:prstGeom prst="rect">
                      <a:avLst/>
                    </a:prstGeom>
                    <a:noFill/>
                  </pic:spPr>
                </pic:pic>
              </a:graphicData>
            </a:graphic>
          </wp:inline>
        </w:drawing>
      </w:r>
    </w:p>
    <w:p w14:paraId="6B557351" w14:textId="401D01F0" w:rsidR="001C4FD3" w:rsidRDefault="001C4FD3" w:rsidP="001C4FD3">
      <w:pPr>
        <w:pStyle w:val="Caption"/>
        <w:jc w:val="center"/>
        <w:rPr>
          <w:i w:val="0"/>
          <w:iCs w:val="0"/>
        </w:rPr>
      </w:pPr>
      <w:r>
        <w:t xml:space="preserve">Figure </w:t>
      </w:r>
      <w:r w:rsidR="006C604C">
        <w:fldChar w:fldCharType="begin"/>
      </w:r>
      <w:r w:rsidR="006C604C">
        <w:instrText xml:space="preserve"> SEQ Figure \* ARABIC </w:instrText>
      </w:r>
      <w:r w:rsidR="006C604C">
        <w:fldChar w:fldCharType="separate"/>
      </w:r>
      <w:r w:rsidR="00C40893">
        <w:rPr>
          <w:noProof/>
        </w:rPr>
        <w:t>9</w:t>
      </w:r>
      <w:r w:rsidR="006C604C">
        <w:rPr>
          <w:noProof/>
        </w:rPr>
        <w:fldChar w:fldCharType="end"/>
      </w:r>
      <w:r>
        <w:t>.</w:t>
      </w:r>
      <w:r w:rsidRPr="00D164CA">
        <w:t xml:space="preserve"> </w:t>
      </w:r>
      <w:r w:rsidRPr="001C4FD3">
        <w:rPr>
          <w:i w:val="0"/>
        </w:rPr>
        <w:t>Living Arrangements for ACOs</w:t>
      </w:r>
    </w:p>
    <w:p w14:paraId="00A5301A" w14:textId="3C5B7D82" w:rsidR="000C5AEB" w:rsidRDefault="000C5AEB" w:rsidP="00523A75">
      <w:r>
        <w:t>Responses to the questions about residential living status</w:t>
      </w:r>
      <w:r w:rsidR="00435CB0">
        <w:t xml:space="preserve"> (type of dwelling and living arrangement)</w:t>
      </w:r>
      <w:r>
        <w:t xml:space="preserve"> and </w:t>
      </w:r>
      <w:r w:rsidR="00435CB0">
        <w:t xml:space="preserve">location of </w:t>
      </w:r>
      <w:r>
        <w:t>time spent during waking and sleeping hours highlight the variability among people with disabilities and their families, and dispel any misconception emergency managers might have that people with</w:t>
      </w:r>
      <w:r w:rsidR="00D76A9E">
        <w:t xml:space="preserve"> disabilities or other</w:t>
      </w:r>
      <w:r>
        <w:t xml:space="preserve"> access and functional needs reside in supported living, group homes, or other congregate settings.</w:t>
      </w:r>
    </w:p>
    <w:p w14:paraId="5CBEEC46" w14:textId="619BFB01" w:rsidR="00523A75" w:rsidRDefault="009C6194" w:rsidP="00523A75">
      <w:r>
        <w:t xml:space="preserve">Finally, the </w:t>
      </w:r>
      <w:r w:rsidR="00523A75">
        <w:t>demographic portion of the survey asked respondents to indicate</w:t>
      </w:r>
      <w:r>
        <w:t xml:space="preserve"> those </w:t>
      </w:r>
      <w:r w:rsidR="00523A75">
        <w:t xml:space="preserve">activities </w:t>
      </w:r>
      <w:r w:rsidR="00D064AD">
        <w:t xml:space="preserve">with which </w:t>
      </w:r>
      <w:r w:rsidR="00523A75">
        <w:t xml:space="preserve">they or the person </w:t>
      </w:r>
      <w:r w:rsidR="00D064AD">
        <w:t xml:space="preserve">for whom they were answering </w:t>
      </w:r>
      <w:r w:rsidR="00523A75">
        <w:t>usually required help</w:t>
      </w:r>
      <w:r w:rsidR="003A4B41">
        <w:t xml:space="preserve"> </w:t>
      </w:r>
      <w:r w:rsidR="00523A75">
        <w:t>and to indicate assistive technology</w:t>
      </w:r>
      <w:r>
        <w:t xml:space="preserve"> devices</w:t>
      </w:r>
      <w:r w:rsidR="00523A75">
        <w:t xml:space="preserve"> and durable medical equipment they or the person</w:t>
      </w:r>
      <w:r w:rsidR="00D064AD">
        <w:t xml:space="preserve"> for whom</w:t>
      </w:r>
      <w:r w:rsidR="00523A75">
        <w:t xml:space="preserve"> they were answering used. </w:t>
      </w:r>
      <w:r w:rsidR="00050FA1">
        <w:t xml:space="preserve">Figure </w:t>
      </w:r>
      <w:r>
        <w:t>10</w:t>
      </w:r>
      <w:r w:rsidR="00BD618B">
        <w:t xml:space="preserve"> </w:t>
      </w:r>
      <w:r w:rsidR="00050FA1">
        <w:t xml:space="preserve">displays </w:t>
      </w:r>
      <w:r w:rsidR="00A06BF7">
        <w:t xml:space="preserve">the number </w:t>
      </w:r>
      <w:r w:rsidR="00050FA1">
        <w:t xml:space="preserve">of respondents who indicated needing help with various activities, and </w:t>
      </w:r>
      <w:r w:rsidR="003B46EB">
        <w:t xml:space="preserve">Table </w:t>
      </w:r>
      <w:r w:rsidR="00C1011D">
        <w:t>3</w:t>
      </w:r>
      <w:r w:rsidR="00BD618B">
        <w:t xml:space="preserve"> </w:t>
      </w:r>
      <w:r w:rsidR="003B46EB">
        <w:t xml:space="preserve">shows percentages of respondents’ answers </w:t>
      </w:r>
      <w:r w:rsidR="00C1011D">
        <w:t xml:space="preserve">regarding </w:t>
      </w:r>
      <w:r w:rsidR="003B46EB">
        <w:t xml:space="preserve">various types of assistive technology and durable </w:t>
      </w:r>
      <w:r w:rsidR="00050FA1">
        <w:t xml:space="preserve">medical </w:t>
      </w:r>
      <w:r w:rsidR="00BD618B">
        <w:t>equipment used</w:t>
      </w:r>
      <w:r w:rsidR="00050FA1">
        <w:t>.</w:t>
      </w:r>
    </w:p>
    <w:p w14:paraId="15A4DA96" w14:textId="3D41EEE1" w:rsidR="0096283E" w:rsidRDefault="00117B09" w:rsidP="0096283E">
      <w:pPr>
        <w:pStyle w:val="Caption"/>
        <w:keepNext/>
        <w:jc w:val="center"/>
      </w:pPr>
      <w:r>
        <w:rPr>
          <w:noProof/>
        </w:rPr>
        <w:drawing>
          <wp:inline distT="0" distB="0" distL="0" distR="0" wp14:anchorId="191677D5" wp14:editId="3F92ABB7">
            <wp:extent cx="5991048" cy="3695700"/>
            <wp:effectExtent l="0" t="0" r="0" b="0"/>
            <wp:docPr id="3" name="Picture 3" descr="A vertical stacked column bar graph displays the number of PWD (N = 62) and ACO (N = 162) respondents who indicated needing help with various daily activities. The numbers of PWD respondents across response choices are as follows: 22 for Personal care (bathing, grooming, getting dressed), 19 for Preparing meals, 12 for Transferring (moving from bed to wheelchair to toilet), 17 for Taking or remembering medications, 5 for Using the telephone, 18 for Walking, 13 for Communicating with others (require use of interpreter), and 20 for Other. The numbers of ACO respondents across response choices are as follows: 96 for Personal care (bathing, grooming, getting dressed), 125 for Preparing meals, 47 for Transferring (moving from bed to wheelchair to toilet), 114 for Taking or remembering medications, 64 for Using the telephone, 48 for Walking, 55 for Communicating with others (require use of interpreter), and 21 for Other." title="Figure 10. Distribution of Respondents Needing Help with Dail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8520" cy="3700309"/>
                    </a:xfrm>
                    <a:prstGeom prst="rect">
                      <a:avLst/>
                    </a:prstGeom>
                    <a:noFill/>
                  </pic:spPr>
                </pic:pic>
              </a:graphicData>
            </a:graphic>
          </wp:inline>
        </w:drawing>
      </w:r>
    </w:p>
    <w:p w14:paraId="44E52B82" w14:textId="77777777" w:rsidR="00A06BF7" w:rsidRDefault="0096283E" w:rsidP="0096283E">
      <w:pPr>
        <w:pStyle w:val="Caption"/>
        <w:jc w:val="center"/>
        <w:rPr>
          <w:i w:val="0"/>
        </w:rPr>
      </w:pPr>
      <w:r>
        <w:t xml:space="preserve">Figure </w:t>
      </w:r>
      <w:r w:rsidR="006C604C">
        <w:fldChar w:fldCharType="begin"/>
      </w:r>
      <w:r w:rsidR="006C604C">
        <w:instrText xml:space="preserve"> SEQ Figure \* ARABIC </w:instrText>
      </w:r>
      <w:r w:rsidR="006C604C">
        <w:fldChar w:fldCharType="separate"/>
      </w:r>
      <w:r w:rsidR="00DC467F">
        <w:rPr>
          <w:noProof/>
        </w:rPr>
        <w:t>10</w:t>
      </w:r>
      <w:r w:rsidR="006C604C">
        <w:rPr>
          <w:noProof/>
        </w:rPr>
        <w:fldChar w:fldCharType="end"/>
      </w:r>
      <w:r>
        <w:t xml:space="preserve">. </w:t>
      </w:r>
      <w:r w:rsidR="000A27B3">
        <w:rPr>
          <w:i w:val="0"/>
        </w:rPr>
        <w:t>Distribution</w:t>
      </w:r>
      <w:r w:rsidR="000A27B3" w:rsidRPr="0096283E">
        <w:rPr>
          <w:i w:val="0"/>
        </w:rPr>
        <w:t xml:space="preserve"> </w:t>
      </w:r>
      <w:r w:rsidRPr="0096283E">
        <w:rPr>
          <w:i w:val="0"/>
        </w:rPr>
        <w:t xml:space="preserve">of Respondents Needing Help with </w:t>
      </w:r>
      <w:r w:rsidR="000A27B3">
        <w:rPr>
          <w:i w:val="0"/>
        </w:rPr>
        <w:t xml:space="preserve">Daily </w:t>
      </w:r>
      <w:r w:rsidRPr="0096283E">
        <w:rPr>
          <w:i w:val="0"/>
        </w:rPr>
        <w:t>Activities</w:t>
      </w:r>
    </w:p>
    <w:p w14:paraId="3B99C911" w14:textId="171C8545" w:rsidR="0053494F" w:rsidRDefault="0053494F" w:rsidP="0053494F">
      <w:r>
        <w:t>Of the PWD respondents who indicated “other” for the question asking about help with daily activities, four wrote in “none” or “NA;” seven said they needed help understanding speech or some other form of assistance with communication, e.g., captioning; four said they needed help with household chores; and three said they needed help with motor tasks. Of the ACO respondents who selected “other” for this question, four wrote in some form of communication issue, e.g., “does not speak;” four wrote in some sort of transportation or mobility issue, e.g., “assistance with shopping and carrying items;” and four indicated needing help with daily living activities, e.g., housework and laundry.</w:t>
      </w:r>
    </w:p>
    <w:p w14:paraId="65CECA19" w14:textId="35EF0F7E" w:rsidR="0053494F" w:rsidRDefault="00A06BF7" w:rsidP="00841691">
      <w:r>
        <w:t xml:space="preserve">Results from this question indicate that both PWD and ACO respondents expressed needing help with personal care, preparing meals, and taking/remembering medications more so than any other </w:t>
      </w:r>
      <w:r w:rsidR="00D23E26">
        <w:t>response choice</w:t>
      </w:r>
      <w:r>
        <w:t xml:space="preserve">. These activities can be subsumed under </w:t>
      </w:r>
      <w:r w:rsidR="00841691">
        <w:t>a larger category of daily living activities</w:t>
      </w:r>
      <w:r w:rsidR="00E21219">
        <w:t xml:space="preserve"> and</w:t>
      </w:r>
      <w:r w:rsidR="00841691">
        <w:t xml:space="preserve"> should be taken into consideration for emergency shelter personnel who may need to be trained in providing specialized assistance with activities of daily living for people with access and functional needs, especially those with disabilities</w:t>
      </w:r>
      <w:r w:rsidR="00E21219">
        <w:t xml:space="preserve"> and difficulties with communication.</w:t>
      </w:r>
    </w:p>
    <w:p w14:paraId="3BFE1AE0" w14:textId="021CE535" w:rsidR="00BD618B" w:rsidRDefault="00BD618B" w:rsidP="00BD618B">
      <w:pPr>
        <w:pStyle w:val="Caption"/>
        <w:keepNext/>
        <w:jc w:val="center"/>
      </w:pPr>
      <w:r>
        <w:t xml:space="preserve">Table </w:t>
      </w:r>
      <w:r w:rsidR="006C604C">
        <w:fldChar w:fldCharType="begin"/>
      </w:r>
      <w:r w:rsidR="006C604C">
        <w:instrText xml:space="preserve"> SEQ Table \* ARABIC </w:instrText>
      </w:r>
      <w:r w:rsidR="006C604C">
        <w:fldChar w:fldCharType="separate"/>
      </w:r>
      <w:r>
        <w:rPr>
          <w:noProof/>
        </w:rPr>
        <w:t>3</w:t>
      </w:r>
      <w:r w:rsidR="006C604C">
        <w:rPr>
          <w:noProof/>
        </w:rPr>
        <w:fldChar w:fldCharType="end"/>
      </w:r>
      <w:r>
        <w:t xml:space="preserve">. </w:t>
      </w:r>
      <w:r w:rsidRPr="00BD618B">
        <w:rPr>
          <w:i w:val="0"/>
        </w:rPr>
        <w:t>Usage of Assistive Technology and Durable Medical Equipment</w:t>
      </w:r>
    </w:p>
    <w:tbl>
      <w:tblPr>
        <w:tblStyle w:val="TableGrid"/>
        <w:tblpPr w:leftFromText="187" w:rightFromText="187" w:bottomFromText="288" w:vertAnchor="text" w:tblpX="-100" w:tblpY="1"/>
        <w:tblOverlap w:val="never"/>
        <w:tblW w:w="9445" w:type="dxa"/>
        <w:tblLook w:val="04A0" w:firstRow="1" w:lastRow="0" w:firstColumn="1" w:lastColumn="0" w:noHBand="0" w:noVBand="1"/>
        <w:tblCaption w:val="Table 3: Usage of Assistive Technology and Durable Medical Equipment"/>
        <w:tblDescription w:val="This table displays percentages of PWD (N = 85) and ACO (N = 172) respondents who reported using various types of assistive technology and durable medical equipment."/>
      </w:tblPr>
      <w:tblGrid>
        <w:gridCol w:w="6210"/>
        <w:gridCol w:w="1620"/>
        <w:gridCol w:w="1615"/>
      </w:tblGrid>
      <w:tr w:rsidR="00B8759C" w14:paraId="40A328E1" w14:textId="77777777" w:rsidTr="0053494F">
        <w:trPr>
          <w:trHeight w:val="719"/>
          <w:tblHeader/>
        </w:trPr>
        <w:tc>
          <w:tcPr>
            <w:tcW w:w="6210" w:type="dxa"/>
            <w:shd w:val="clear" w:color="auto" w:fill="000000" w:themeFill="text1"/>
            <w:vAlign w:val="center"/>
          </w:tcPr>
          <w:p w14:paraId="70560EDA" w14:textId="77777777" w:rsidR="00B8759C" w:rsidRPr="00B8759C" w:rsidRDefault="00B8759C" w:rsidP="00A06BF7">
            <w:pPr>
              <w:jc w:val="center"/>
              <w:rPr>
                <w:b/>
              </w:rPr>
            </w:pPr>
            <w:r w:rsidRPr="00B8759C">
              <w:rPr>
                <w:b/>
              </w:rPr>
              <w:t>Type of Assistive Technology or Durable Medical Equipment</w:t>
            </w:r>
          </w:p>
        </w:tc>
        <w:tc>
          <w:tcPr>
            <w:tcW w:w="1620" w:type="dxa"/>
            <w:shd w:val="clear" w:color="auto" w:fill="000000" w:themeFill="text1"/>
            <w:vAlign w:val="center"/>
          </w:tcPr>
          <w:p w14:paraId="3084A287" w14:textId="5DCF56B5" w:rsidR="00B8759C" w:rsidRPr="00B8759C" w:rsidRDefault="00B8759C" w:rsidP="00A06BF7">
            <w:pPr>
              <w:jc w:val="center"/>
              <w:rPr>
                <w:b/>
              </w:rPr>
            </w:pPr>
            <w:r w:rsidRPr="00B8759C">
              <w:rPr>
                <w:b/>
              </w:rPr>
              <w:t xml:space="preserve">PWD </w:t>
            </w:r>
            <w:r w:rsidR="006A0EB9">
              <w:rPr>
                <w:b/>
              </w:rPr>
              <w:t xml:space="preserve">(N = 85) </w:t>
            </w:r>
            <w:r w:rsidRPr="00B8759C">
              <w:rPr>
                <w:b/>
              </w:rPr>
              <w:t>Percentage</w:t>
            </w:r>
          </w:p>
        </w:tc>
        <w:tc>
          <w:tcPr>
            <w:tcW w:w="1615" w:type="dxa"/>
            <w:shd w:val="clear" w:color="auto" w:fill="000000" w:themeFill="text1"/>
            <w:vAlign w:val="center"/>
          </w:tcPr>
          <w:p w14:paraId="6B5BED15" w14:textId="1699F030" w:rsidR="00B8759C" w:rsidRPr="00B8759C" w:rsidRDefault="00B8759C" w:rsidP="00A06BF7">
            <w:pPr>
              <w:jc w:val="center"/>
              <w:rPr>
                <w:b/>
              </w:rPr>
            </w:pPr>
            <w:r w:rsidRPr="00B8759C">
              <w:rPr>
                <w:b/>
              </w:rPr>
              <w:t xml:space="preserve">ACO </w:t>
            </w:r>
            <w:r w:rsidR="006A0EB9">
              <w:rPr>
                <w:b/>
              </w:rPr>
              <w:t xml:space="preserve">(N = 172) </w:t>
            </w:r>
            <w:r w:rsidRPr="00B8759C">
              <w:rPr>
                <w:b/>
              </w:rPr>
              <w:t>Percentage</w:t>
            </w:r>
          </w:p>
        </w:tc>
      </w:tr>
      <w:tr w:rsidR="00B8759C" w14:paraId="41846EF5" w14:textId="77777777" w:rsidTr="0053494F">
        <w:tc>
          <w:tcPr>
            <w:tcW w:w="6210" w:type="dxa"/>
          </w:tcPr>
          <w:p w14:paraId="4E640918" w14:textId="77777777" w:rsidR="00B8759C" w:rsidRDefault="00B8759C" w:rsidP="00A06BF7">
            <w:r>
              <w:t>Ramp</w:t>
            </w:r>
          </w:p>
        </w:tc>
        <w:tc>
          <w:tcPr>
            <w:tcW w:w="1620" w:type="dxa"/>
            <w:vAlign w:val="center"/>
          </w:tcPr>
          <w:p w14:paraId="6EBDB0E3" w14:textId="77777777" w:rsidR="00B8759C" w:rsidRDefault="00B8759C" w:rsidP="00A06BF7">
            <w:pPr>
              <w:jc w:val="center"/>
            </w:pPr>
            <w:r>
              <w:t>25%</w:t>
            </w:r>
          </w:p>
        </w:tc>
        <w:tc>
          <w:tcPr>
            <w:tcW w:w="1615" w:type="dxa"/>
            <w:vAlign w:val="center"/>
          </w:tcPr>
          <w:p w14:paraId="7E37E621" w14:textId="77777777" w:rsidR="00B8759C" w:rsidRDefault="00B8759C" w:rsidP="00A06BF7">
            <w:pPr>
              <w:jc w:val="center"/>
            </w:pPr>
            <w:r>
              <w:t>25%</w:t>
            </w:r>
          </w:p>
        </w:tc>
      </w:tr>
      <w:tr w:rsidR="00B8759C" w14:paraId="327F7F09" w14:textId="77777777" w:rsidTr="0053494F">
        <w:tc>
          <w:tcPr>
            <w:tcW w:w="6210" w:type="dxa"/>
          </w:tcPr>
          <w:p w14:paraId="10A1874C" w14:textId="1B34CC9C" w:rsidR="00B8759C" w:rsidRDefault="00B8759C" w:rsidP="00A06BF7">
            <w:r>
              <w:t>Walker, can</w:t>
            </w:r>
            <w:r w:rsidR="00435CB0">
              <w:t>e</w:t>
            </w:r>
            <w:r>
              <w:t>, or crutches</w:t>
            </w:r>
          </w:p>
        </w:tc>
        <w:tc>
          <w:tcPr>
            <w:tcW w:w="1620" w:type="dxa"/>
            <w:vAlign w:val="center"/>
          </w:tcPr>
          <w:p w14:paraId="1FD01D5E" w14:textId="77777777" w:rsidR="00B8759C" w:rsidRDefault="00B8759C" w:rsidP="00A06BF7">
            <w:pPr>
              <w:jc w:val="center"/>
            </w:pPr>
            <w:r>
              <w:t>21%</w:t>
            </w:r>
          </w:p>
        </w:tc>
        <w:tc>
          <w:tcPr>
            <w:tcW w:w="1615" w:type="dxa"/>
            <w:vAlign w:val="center"/>
          </w:tcPr>
          <w:p w14:paraId="0E035FD1" w14:textId="77777777" w:rsidR="00B8759C" w:rsidRDefault="00B8759C" w:rsidP="00A06BF7">
            <w:pPr>
              <w:jc w:val="center"/>
            </w:pPr>
            <w:r>
              <w:t>24%</w:t>
            </w:r>
          </w:p>
        </w:tc>
      </w:tr>
      <w:tr w:rsidR="00B8759C" w14:paraId="562AF2AA" w14:textId="77777777" w:rsidTr="0053494F">
        <w:tc>
          <w:tcPr>
            <w:tcW w:w="6210" w:type="dxa"/>
          </w:tcPr>
          <w:p w14:paraId="60395941" w14:textId="77777777" w:rsidR="00B8759C" w:rsidRDefault="00B8759C" w:rsidP="00A06BF7">
            <w:r>
              <w:t>Wheelchair or scooter</w:t>
            </w:r>
          </w:p>
        </w:tc>
        <w:tc>
          <w:tcPr>
            <w:tcW w:w="1620" w:type="dxa"/>
            <w:vAlign w:val="center"/>
          </w:tcPr>
          <w:p w14:paraId="1321FC6A" w14:textId="77777777" w:rsidR="00B8759C" w:rsidRDefault="00B8759C" w:rsidP="00A06BF7">
            <w:pPr>
              <w:jc w:val="center"/>
            </w:pPr>
            <w:r>
              <w:t>37%</w:t>
            </w:r>
          </w:p>
        </w:tc>
        <w:tc>
          <w:tcPr>
            <w:tcW w:w="1615" w:type="dxa"/>
            <w:vAlign w:val="center"/>
          </w:tcPr>
          <w:p w14:paraId="19DD3445" w14:textId="77777777" w:rsidR="00B8759C" w:rsidRDefault="00B8759C" w:rsidP="00A06BF7">
            <w:pPr>
              <w:jc w:val="center"/>
            </w:pPr>
            <w:r>
              <w:t>31%</w:t>
            </w:r>
          </w:p>
        </w:tc>
      </w:tr>
      <w:tr w:rsidR="00B8759C" w14:paraId="4AC94079" w14:textId="77777777" w:rsidTr="0053494F">
        <w:tc>
          <w:tcPr>
            <w:tcW w:w="6210" w:type="dxa"/>
          </w:tcPr>
          <w:p w14:paraId="48AC350E" w14:textId="77777777" w:rsidR="00B8759C" w:rsidRDefault="00B8759C" w:rsidP="00A06BF7">
            <w:r>
              <w:t>Gait belt, transfer board, or patient lift</w:t>
            </w:r>
          </w:p>
        </w:tc>
        <w:tc>
          <w:tcPr>
            <w:tcW w:w="1620" w:type="dxa"/>
            <w:vAlign w:val="center"/>
          </w:tcPr>
          <w:p w14:paraId="117C3700" w14:textId="77777777" w:rsidR="00B8759C" w:rsidRDefault="00B8759C" w:rsidP="00A06BF7">
            <w:pPr>
              <w:jc w:val="center"/>
            </w:pPr>
            <w:r>
              <w:t>6%</w:t>
            </w:r>
          </w:p>
        </w:tc>
        <w:tc>
          <w:tcPr>
            <w:tcW w:w="1615" w:type="dxa"/>
            <w:vAlign w:val="center"/>
          </w:tcPr>
          <w:p w14:paraId="6556B777" w14:textId="77777777" w:rsidR="00B8759C" w:rsidRDefault="00B8759C" w:rsidP="00A06BF7">
            <w:pPr>
              <w:jc w:val="center"/>
            </w:pPr>
            <w:r>
              <w:t>9%</w:t>
            </w:r>
          </w:p>
        </w:tc>
      </w:tr>
      <w:tr w:rsidR="00B8759C" w14:paraId="579870B9" w14:textId="77777777" w:rsidTr="0053494F">
        <w:tc>
          <w:tcPr>
            <w:tcW w:w="6210" w:type="dxa"/>
          </w:tcPr>
          <w:p w14:paraId="25BB3F8B" w14:textId="77777777" w:rsidR="00B8759C" w:rsidRDefault="00B8759C" w:rsidP="00A06BF7">
            <w:r w:rsidRPr="00B8759C">
              <w:t>Bedside commode, shower chair or handheld shower wand</w:t>
            </w:r>
          </w:p>
        </w:tc>
        <w:tc>
          <w:tcPr>
            <w:tcW w:w="1620" w:type="dxa"/>
            <w:vAlign w:val="center"/>
          </w:tcPr>
          <w:p w14:paraId="1B818C51" w14:textId="77777777" w:rsidR="00B8759C" w:rsidRDefault="00B8759C" w:rsidP="00A06BF7">
            <w:pPr>
              <w:jc w:val="center"/>
            </w:pPr>
            <w:r>
              <w:t>28%</w:t>
            </w:r>
          </w:p>
        </w:tc>
        <w:tc>
          <w:tcPr>
            <w:tcW w:w="1615" w:type="dxa"/>
            <w:vAlign w:val="center"/>
          </w:tcPr>
          <w:p w14:paraId="53F0CA94" w14:textId="77777777" w:rsidR="00B8759C" w:rsidRDefault="00B8759C" w:rsidP="00A06BF7">
            <w:pPr>
              <w:jc w:val="center"/>
            </w:pPr>
            <w:r>
              <w:t>27%</w:t>
            </w:r>
          </w:p>
        </w:tc>
      </w:tr>
      <w:tr w:rsidR="00B8759C" w14:paraId="74CFCF4B" w14:textId="77777777" w:rsidTr="0053494F">
        <w:tc>
          <w:tcPr>
            <w:tcW w:w="6210" w:type="dxa"/>
          </w:tcPr>
          <w:p w14:paraId="0E2944B3" w14:textId="77777777" w:rsidR="00B8759C" w:rsidRDefault="00B8759C" w:rsidP="00A06BF7">
            <w:r w:rsidRPr="00B8759C">
              <w:t>Adapted utensils, plates, dishes, bendable straws or cups</w:t>
            </w:r>
          </w:p>
        </w:tc>
        <w:tc>
          <w:tcPr>
            <w:tcW w:w="1620" w:type="dxa"/>
            <w:vAlign w:val="center"/>
          </w:tcPr>
          <w:p w14:paraId="603D322F" w14:textId="77777777" w:rsidR="00B8759C" w:rsidRDefault="00B8759C" w:rsidP="00A06BF7">
            <w:pPr>
              <w:jc w:val="center"/>
            </w:pPr>
            <w:r>
              <w:t>7%</w:t>
            </w:r>
          </w:p>
        </w:tc>
        <w:tc>
          <w:tcPr>
            <w:tcW w:w="1615" w:type="dxa"/>
            <w:vAlign w:val="center"/>
          </w:tcPr>
          <w:p w14:paraId="26BB26E4" w14:textId="77777777" w:rsidR="00B8759C" w:rsidRDefault="00B8759C" w:rsidP="00A06BF7">
            <w:pPr>
              <w:jc w:val="center"/>
            </w:pPr>
            <w:r>
              <w:t>15%</w:t>
            </w:r>
          </w:p>
        </w:tc>
      </w:tr>
      <w:tr w:rsidR="00B8759C" w14:paraId="12A2A798" w14:textId="77777777" w:rsidTr="0053494F">
        <w:tc>
          <w:tcPr>
            <w:tcW w:w="6210" w:type="dxa"/>
          </w:tcPr>
          <w:p w14:paraId="6350619C" w14:textId="77777777" w:rsidR="00B8759C" w:rsidRDefault="00B8759C" w:rsidP="00A06BF7">
            <w:r w:rsidRPr="00B8759C">
              <w:t>Reacher</w:t>
            </w:r>
          </w:p>
        </w:tc>
        <w:tc>
          <w:tcPr>
            <w:tcW w:w="1620" w:type="dxa"/>
            <w:vAlign w:val="center"/>
          </w:tcPr>
          <w:p w14:paraId="1DBD9722" w14:textId="77777777" w:rsidR="00B8759C" w:rsidRDefault="00B8759C" w:rsidP="00A06BF7">
            <w:pPr>
              <w:jc w:val="center"/>
            </w:pPr>
            <w:r>
              <w:t>22%</w:t>
            </w:r>
          </w:p>
        </w:tc>
        <w:tc>
          <w:tcPr>
            <w:tcW w:w="1615" w:type="dxa"/>
            <w:vAlign w:val="center"/>
          </w:tcPr>
          <w:p w14:paraId="0D5BB7B1" w14:textId="77777777" w:rsidR="00B8759C" w:rsidRDefault="00B8759C" w:rsidP="00A06BF7">
            <w:pPr>
              <w:jc w:val="center"/>
            </w:pPr>
            <w:r>
              <w:t>6%</w:t>
            </w:r>
          </w:p>
        </w:tc>
      </w:tr>
      <w:tr w:rsidR="00B8759C" w14:paraId="63B1E538" w14:textId="77777777" w:rsidTr="0053494F">
        <w:tc>
          <w:tcPr>
            <w:tcW w:w="6210" w:type="dxa"/>
          </w:tcPr>
          <w:p w14:paraId="05041EBB" w14:textId="77777777" w:rsidR="00B8759C" w:rsidRPr="00B8759C" w:rsidRDefault="00B8759C" w:rsidP="00A06BF7">
            <w:r w:rsidRPr="00B8759C">
              <w:t>Dressing tools (like a sock donner, button pull, dressing stick)</w:t>
            </w:r>
          </w:p>
        </w:tc>
        <w:tc>
          <w:tcPr>
            <w:tcW w:w="1620" w:type="dxa"/>
            <w:vAlign w:val="center"/>
          </w:tcPr>
          <w:p w14:paraId="0A1B9B5E" w14:textId="77777777" w:rsidR="00B8759C" w:rsidRDefault="00B8759C" w:rsidP="00A06BF7">
            <w:pPr>
              <w:jc w:val="center"/>
            </w:pPr>
            <w:r>
              <w:t>9%</w:t>
            </w:r>
          </w:p>
        </w:tc>
        <w:tc>
          <w:tcPr>
            <w:tcW w:w="1615" w:type="dxa"/>
            <w:vAlign w:val="center"/>
          </w:tcPr>
          <w:p w14:paraId="602417CC" w14:textId="77777777" w:rsidR="00B8759C" w:rsidRDefault="00B8759C" w:rsidP="00A06BF7">
            <w:pPr>
              <w:jc w:val="center"/>
            </w:pPr>
            <w:r>
              <w:t>5%</w:t>
            </w:r>
          </w:p>
        </w:tc>
      </w:tr>
      <w:tr w:rsidR="00B8759C" w14:paraId="21376129" w14:textId="77777777" w:rsidTr="0053494F">
        <w:tc>
          <w:tcPr>
            <w:tcW w:w="6210" w:type="dxa"/>
          </w:tcPr>
          <w:p w14:paraId="3AB375B4" w14:textId="77777777" w:rsidR="00B8759C" w:rsidRPr="00B8759C" w:rsidRDefault="00B8759C" w:rsidP="00A06BF7">
            <w:r w:rsidRPr="00B8759C">
              <w:t>Captioned, amplified or large button telephone</w:t>
            </w:r>
          </w:p>
        </w:tc>
        <w:tc>
          <w:tcPr>
            <w:tcW w:w="1620" w:type="dxa"/>
            <w:vAlign w:val="center"/>
          </w:tcPr>
          <w:p w14:paraId="11B7447F" w14:textId="77777777" w:rsidR="00B8759C" w:rsidRDefault="00B8759C" w:rsidP="00A06BF7">
            <w:pPr>
              <w:jc w:val="center"/>
            </w:pPr>
            <w:r>
              <w:t>9%</w:t>
            </w:r>
          </w:p>
        </w:tc>
        <w:tc>
          <w:tcPr>
            <w:tcW w:w="1615" w:type="dxa"/>
            <w:vAlign w:val="center"/>
          </w:tcPr>
          <w:p w14:paraId="3ECB8844" w14:textId="77777777" w:rsidR="00B8759C" w:rsidRDefault="00B8759C" w:rsidP="00A06BF7">
            <w:pPr>
              <w:jc w:val="center"/>
            </w:pPr>
            <w:r>
              <w:t>4%</w:t>
            </w:r>
          </w:p>
        </w:tc>
      </w:tr>
      <w:tr w:rsidR="00B8759C" w14:paraId="2ACB9193" w14:textId="77777777" w:rsidTr="0053494F">
        <w:tc>
          <w:tcPr>
            <w:tcW w:w="6210" w:type="dxa"/>
          </w:tcPr>
          <w:p w14:paraId="64972E2B" w14:textId="77777777" w:rsidR="00B8759C" w:rsidRPr="00B8759C" w:rsidRDefault="00B8759C" w:rsidP="00A06BF7">
            <w:r w:rsidRPr="00B8759C">
              <w:t>Hearing aids</w:t>
            </w:r>
          </w:p>
        </w:tc>
        <w:tc>
          <w:tcPr>
            <w:tcW w:w="1620" w:type="dxa"/>
            <w:vAlign w:val="center"/>
          </w:tcPr>
          <w:p w14:paraId="16D32461" w14:textId="77777777" w:rsidR="00B8759C" w:rsidRDefault="00B8759C" w:rsidP="00A06BF7">
            <w:pPr>
              <w:jc w:val="center"/>
            </w:pPr>
            <w:r>
              <w:t>17%</w:t>
            </w:r>
          </w:p>
        </w:tc>
        <w:tc>
          <w:tcPr>
            <w:tcW w:w="1615" w:type="dxa"/>
            <w:vAlign w:val="center"/>
          </w:tcPr>
          <w:p w14:paraId="3D276146" w14:textId="77777777" w:rsidR="00B8759C" w:rsidRDefault="00B8759C" w:rsidP="00A06BF7">
            <w:pPr>
              <w:jc w:val="center"/>
            </w:pPr>
            <w:r>
              <w:t>19%</w:t>
            </w:r>
          </w:p>
        </w:tc>
      </w:tr>
      <w:tr w:rsidR="00B8759C" w14:paraId="2DB1D4BF" w14:textId="77777777" w:rsidTr="0053494F">
        <w:tc>
          <w:tcPr>
            <w:tcW w:w="6210" w:type="dxa"/>
          </w:tcPr>
          <w:p w14:paraId="5E9C7164" w14:textId="77777777" w:rsidR="00B8759C" w:rsidRPr="00B8759C" w:rsidRDefault="00B8759C" w:rsidP="00A06BF7">
            <w:r w:rsidRPr="00B8759C">
              <w:t>Video relay service</w:t>
            </w:r>
          </w:p>
        </w:tc>
        <w:tc>
          <w:tcPr>
            <w:tcW w:w="1620" w:type="dxa"/>
            <w:vAlign w:val="center"/>
          </w:tcPr>
          <w:p w14:paraId="32B703FD" w14:textId="77777777" w:rsidR="00B8759C" w:rsidRDefault="00B8759C" w:rsidP="00A06BF7">
            <w:pPr>
              <w:jc w:val="center"/>
            </w:pPr>
            <w:r>
              <w:t>14%</w:t>
            </w:r>
          </w:p>
        </w:tc>
        <w:tc>
          <w:tcPr>
            <w:tcW w:w="1615" w:type="dxa"/>
            <w:vAlign w:val="center"/>
          </w:tcPr>
          <w:p w14:paraId="3220C1A6" w14:textId="77777777" w:rsidR="00B8759C" w:rsidRDefault="00B8759C" w:rsidP="00A06BF7">
            <w:pPr>
              <w:jc w:val="center"/>
            </w:pPr>
            <w:r>
              <w:t>3%</w:t>
            </w:r>
          </w:p>
        </w:tc>
      </w:tr>
      <w:tr w:rsidR="00B8759C" w14:paraId="1719EB1A" w14:textId="77777777" w:rsidTr="0053494F">
        <w:tc>
          <w:tcPr>
            <w:tcW w:w="6210" w:type="dxa"/>
          </w:tcPr>
          <w:p w14:paraId="1A3B7C41" w14:textId="77777777" w:rsidR="00B8759C" w:rsidRPr="00B8759C" w:rsidRDefault="00B8759C" w:rsidP="00A06BF7">
            <w:r w:rsidRPr="00B8759C">
              <w:t>Vibrating or flash alert system</w:t>
            </w:r>
          </w:p>
        </w:tc>
        <w:tc>
          <w:tcPr>
            <w:tcW w:w="1620" w:type="dxa"/>
            <w:vAlign w:val="center"/>
          </w:tcPr>
          <w:p w14:paraId="771A8D6C" w14:textId="77777777" w:rsidR="00B8759C" w:rsidRDefault="00B8759C" w:rsidP="00A06BF7">
            <w:pPr>
              <w:jc w:val="center"/>
            </w:pPr>
            <w:r>
              <w:t>18%</w:t>
            </w:r>
          </w:p>
        </w:tc>
        <w:tc>
          <w:tcPr>
            <w:tcW w:w="1615" w:type="dxa"/>
            <w:vAlign w:val="center"/>
          </w:tcPr>
          <w:p w14:paraId="50B050D5" w14:textId="77777777" w:rsidR="00B8759C" w:rsidRDefault="00B8759C" w:rsidP="00A06BF7">
            <w:pPr>
              <w:jc w:val="center"/>
            </w:pPr>
            <w:r>
              <w:t>5%</w:t>
            </w:r>
          </w:p>
        </w:tc>
      </w:tr>
      <w:tr w:rsidR="00B8759C" w14:paraId="73AA9129" w14:textId="77777777" w:rsidTr="0053494F">
        <w:tc>
          <w:tcPr>
            <w:tcW w:w="6210" w:type="dxa"/>
          </w:tcPr>
          <w:p w14:paraId="585CF140" w14:textId="77777777" w:rsidR="00B8759C" w:rsidRPr="00B8759C" w:rsidRDefault="00B8759C" w:rsidP="00A06BF7">
            <w:r w:rsidRPr="00B8759C">
              <w:t>Magnifier</w:t>
            </w:r>
          </w:p>
        </w:tc>
        <w:tc>
          <w:tcPr>
            <w:tcW w:w="1620" w:type="dxa"/>
            <w:vAlign w:val="center"/>
          </w:tcPr>
          <w:p w14:paraId="00A015EC" w14:textId="77777777" w:rsidR="00B8759C" w:rsidRDefault="00B8759C" w:rsidP="00A06BF7">
            <w:pPr>
              <w:jc w:val="center"/>
            </w:pPr>
            <w:r>
              <w:t>13%</w:t>
            </w:r>
          </w:p>
        </w:tc>
        <w:tc>
          <w:tcPr>
            <w:tcW w:w="1615" w:type="dxa"/>
            <w:vAlign w:val="center"/>
          </w:tcPr>
          <w:p w14:paraId="1875A0E8" w14:textId="77777777" w:rsidR="00B8759C" w:rsidRDefault="00B8759C" w:rsidP="00A06BF7">
            <w:pPr>
              <w:jc w:val="center"/>
            </w:pPr>
            <w:r>
              <w:t>4%</w:t>
            </w:r>
          </w:p>
        </w:tc>
      </w:tr>
      <w:tr w:rsidR="00B8759C" w14:paraId="6507658C" w14:textId="77777777" w:rsidTr="0053494F">
        <w:tc>
          <w:tcPr>
            <w:tcW w:w="6210" w:type="dxa"/>
          </w:tcPr>
          <w:p w14:paraId="718FD607" w14:textId="77777777" w:rsidR="00B8759C" w:rsidRPr="00B8759C" w:rsidRDefault="00B8759C" w:rsidP="00A06BF7">
            <w:r>
              <w:t>Eyeglasses</w:t>
            </w:r>
          </w:p>
        </w:tc>
        <w:tc>
          <w:tcPr>
            <w:tcW w:w="1620" w:type="dxa"/>
            <w:vAlign w:val="center"/>
          </w:tcPr>
          <w:p w14:paraId="3612C401" w14:textId="77777777" w:rsidR="00B8759C" w:rsidRDefault="00B8759C" w:rsidP="00A06BF7">
            <w:pPr>
              <w:jc w:val="center"/>
            </w:pPr>
            <w:r>
              <w:t>47%</w:t>
            </w:r>
          </w:p>
        </w:tc>
        <w:tc>
          <w:tcPr>
            <w:tcW w:w="1615" w:type="dxa"/>
            <w:vAlign w:val="center"/>
          </w:tcPr>
          <w:p w14:paraId="08F61EC7" w14:textId="77777777" w:rsidR="00B8759C" w:rsidRDefault="00B8759C" w:rsidP="00A06BF7">
            <w:pPr>
              <w:jc w:val="center"/>
            </w:pPr>
            <w:r>
              <w:t>44%</w:t>
            </w:r>
          </w:p>
        </w:tc>
      </w:tr>
      <w:tr w:rsidR="00B8759C" w14:paraId="44B9B9E7" w14:textId="77777777" w:rsidTr="0053494F">
        <w:tc>
          <w:tcPr>
            <w:tcW w:w="6210" w:type="dxa"/>
          </w:tcPr>
          <w:p w14:paraId="67CFA0F8" w14:textId="77777777" w:rsidR="00B8759C" w:rsidRPr="00B8759C" w:rsidRDefault="00B8759C" w:rsidP="00A06BF7">
            <w:r w:rsidRPr="00B8759C">
              <w:t>"High tech" communication device (iPad, tablet or other specialized speech generating device)</w:t>
            </w:r>
          </w:p>
        </w:tc>
        <w:tc>
          <w:tcPr>
            <w:tcW w:w="1620" w:type="dxa"/>
            <w:vAlign w:val="center"/>
          </w:tcPr>
          <w:p w14:paraId="235F46A0" w14:textId="77777777" w:rsidR="00B8759C" w:rsidRDefault="00B8759C" w:rsidP="00A06BF7">
            <w:pPr>
              <w:jc w:val="center"/>
            </w:pPr>
            <w:r>
              <w:t>17%</w:t>
            </w:r>
          </w:p>
        </w:tc>
        <w:tc>
          <w:tcPr>
            <w:tcW w:w="1615" w:type="dxa"/>
            <w:vAlign w:val="center"/>
          </w:tcPr>
          <w:p w14:paraId="19253D9F" w14:textId="77777777" w:rsidR="00B8759C" w:rsidRDefault="00B8759C" w:rsidP="00A06BF7">
            <w:pPr>
              <w:jc w:val="center"/>
            </w:pPr>
            <w:r>
              <w:t>19%</w:t>
            </w:r>
          </w:p>
        </w:tc>
      </w:tr>
      <w:tr w:rsidR="00B8759C" w14:paraId="2702421A" w14:textId="77777777" w:rsidTr="0053494F">
        <w:tc>
          <w:tcPr>
            <w:tcW w:w="6210" w:type="dxa"/>
          </w:tcPr>
          <w:p w14:paraId="241DB527" w14:textId="77777777" w:rsidR="00B8759C" w:rsidRPr="00B8759C" w:rsidRDefault="00B8759C" w:rsidP="00A06BF7">
            <w:r w:rsidRPr="00B8759C">
              <w:t>Picture or letter communication board</w:t>
            </w:r>
          </w:p>
        </w:tc>
        <w:tc>
          <w:tcPr>
            <w:tcW w:w="1620" w:type="dxa"/>
            <w:vAlign w:val="center"/>
          </w:tcPr>
          <w:p w14:paraId="22BB51AB" w14:textId="77777777" w:rsidR="00B8759C" w:rsidRDefault="00B8759C" w:rsidP="00A06BF7">
            <w:pPr>
              <w:jc w:val="center"/>
            </w:pPr>
            <w:r>
              <w:t>1%</w:t>
            </w:r>
          </w:p>
        </w:tc>
        <w:tc>
          <w:tcPr>
            <w:tcW w:w="1615" w:type="dxa"/>
            <w:vAlign w:val="center"/>
          </w:tcPr>
          <w:p w14:paraId="0738BEF4" w14:textId="77777777" w:rsidR="00B8759C" w:rsidRDefault="00B8759C" w:rsidP="00A06BF7">
            <w:pPr>
              <w:jc w:val="center"/>
            </w:pPr>
            <w:r>
              <w:t>12%</w:t>
            </w:r>
          </w:p>
        </w:tc>
      </w:tr>
      <w:tr w:rsidR="00B8759C" w14:paraId="428ADEC8" w14:textId="77777777" w:rsidTr="0053494F">
        <w:tc>
          <w:tcPr>
            <w:tcW w:w="6210" w:type="dxa"/>
          </w:tcPr>
          <w:p w14:paraId="1CAEA069" w14:textId="77777777" w:rsidR="00B8759C" w:rsidRPr="00B8759C" w:rsidRDefault="00B8759C" w:rsidP="00A06BF7">
            <w:r w:rsidRPr="00B8759C">
              <w:t>Non-skid activity material (</w:t>
            </w:r>
            <w:proofErr w:type="spellStart"/>
            <w:r w:rsidRPr="00B8759C">
              <w:t>Dycem</w:t>
            </w:r>
            <w:proofErr w:type="spellEnd"/>
            <w:r w:rsidRPr="00B8759C">
              <w:t xml:space="preserve"> or similar)</w:t>
            </w:r>
          </w:p>
        </w:tc>
        <w:tc>
          <w:tcPr>
            <w:tcW w:w="1620" w:type="dxa"/>
            <w:vAlign w:val="center"/>
          </w:tcPr>
          <w:p w14:paraId="724CA220" w14:textId="77777777" w:rsidR="00B8759C" w:rsidRDefault="00B8759C" w:rsidP="00A06BF7">
            <w:pPr>
              <w:jc w:val="center"/>
            </w:pPr>
            <w:r>
              <w:t>5%</w:t>
            </w:r>
          </w:p>
        </w:tc>
        <w:tc>
          <w:tcPr>
            <w:tcW w:w="1615" w:type="dxa"/>
            <w:vAlign w:val="center"/>
          </w:tcPr>
          <w:p w14:paraId="00F4987F" w14:textId="77777777" w:rsidR="00B8759C" w:rsidRDefault="00B8759C" w:rsidP="00A06BF7">
            <w:pPr>
              <w:jc w:val="center"/>
            </w:pPr>
            <w:r>
              <w:t>9%</w:t>
            </w:r>
          </w:p>
        </w:tc>
      </w:tr>
      <w:tr w:rsidR="00B8759C" w14:paraId="0B54C591" w14:textId="77777777" w:rsidTr="0053494F">
        <w:tc>
          <w:tcPr>
            <w:tcW w:w="6210" w:type="dxa"/>
          </w:tcPr>
          <w:p w14:paraId="649183A9" w14:textId="77777777" w:rsidR="00B8759C" w:rsidRPr="00B8759C" w:rsidRDefault="00B8759C" w:rsidP="00A06BF7">
            <w:r w:rsidRPr="00B8759C">
              <w:t>Handheld reminder or digital recorder</w:t>
            </w:r>
          </w:p>
        </w:tc>
        <w:tc>
          <w:tcPr>
            <w:tcW w:w="1620" w:type="dxa"/>
            <w:vAlign w:val="center"/>
          </w:tcPr>
          <w:p w14:paraId="3D74CA01" w14:textId="77777777" w:rsidR="00B8759C" w:rsidRDefault="00B8759C" w:rsidP="00A06BF7">
            <w:pPr>
              <w:jc w:val="center"/>
            </w:pPr>
            <w:r>
              <w:t>8%</w:t>
            </w:r>
          </w:p>
        </w:tc>
        <w:tc>
          <w:tcPr>
            <w:tcW w:w="1615" w:type="dxa"/>
            <w:vAlign w:val="center"/>
          </w:tcPr>
          <w:p w14:paraId="44765983" w14:textId="77777777" w:rsidR="00B8759C" w:rsidRDefault="00B8759C" w:rsidP="00A06BF7">
            <w:pPr>
              <w:jc w:val="center"/>
            </w:pPr>
            <w:r>
              <w:t>2%</w:t>
            </w:r>
          </w:p>
        </w:tc>
      </w:tr>
      <w:tr w:rsidR="00B8759C" w14:paraId="5414BDFF" w14:textId="77777777" w:rsidTr="0053494F">
        <w:tc>
          <w:tcPr>
            <w:tcW w:w="6210" w:type="dxa"/>
          </w:tcPr>
          <w:p w14:paraId="4E2C1062" w14:textId="77777777" w:rsidR="00B8759C" w:rsidRPr="00B8759C" w:rsidRDefault="00B8759C" w:rsidP="00A06BF7">
            <w:r>
              <w:t>None</w:t>
            </w:r>
          </w:p>
        </w:tc>
        <w:tc>
          <w:tcPr>
            <w:tcW w:w="1620" w:type="dxa"/>
            <w:vAlign w:val="center"/>
          </w:tcPr>
          <w:p w14:paraId="0B7D6F19" w14:textId="77777777" w:rsidR="00B8759C" w:rsidRDefault="00B8759C" w:rsidP="00A06BF7">
            <w:pPr>
              <w:jc w:val="center"/>
            </w:pPr>
            <w:r>
              <w:t>14%</w:t>
            </w:r>
          </w:p>
        </w:tc>
        <w:tc>
          <w:tcPr>
            <w:tcW w:w="1615" w:type="dxa"/>
            <w:vAlign w:val="center"/>
          </w:tcPr>
          <w:p w14:paraId="661BD058" w14:textId="77777777" w:rsidR="00B8759C" w:rsidRDefault="00B8759C" w:rsidP="00A06BF7">
            <w:pPr>
              <w:jc w:val="center"/>
            </w:pPr>
            <w:r>
              <w:t>19%</w:t>
            </w:r>
          </w:p>
        </w:tc>
      </w:tr>
      <w:tr w:rsidR="00B8759C" w14:paraId="19DE80FF" w14:textId="77777777" w:rsidTr="0053494F">
        <w:tc>
          <w:tcPr>
            <w:tcW w:w="6210" w:type="dxa"/>
          </w:tcPr>
          <w:p w14:paraId="3AC9CD68" w14:textId="77777777" w:rsidR="00B8759C" w:rsidRPr="00B8759C" w:rsidRDefault="00B8759C" w:rsidP="00A06BF7">
            <w:r>
              <w:t>Other (Please specify)</w:t>
            </w:r>
          </w:p>
        </w:tc>
        <w:tc>
          <w:tcPr>
            <w:tcW w:w="1620" w:type="dxa"/>
            <w:vAlign w:val="center"/>
          </w:tcPr>
          <w:p w14:paraId="6AD9EC97" w14:textId="77777777" w:rsidR="00B8759C" w:rsidRDefault="00B8759C" w:rsidP="00A06BF7">
            <w:pPr>
              <w:jc w:val="center"/>
            </w:pPr>
            <w:r>
              <w:t>12%</w:t>
            </w:r>
          </w:p>
        </w:tc>
        <w:tc>
          <w:tcPr>
            <w:tcW w:w="1615" w:type="dxa"/>
            <w:vAlign w:val="center"/>
          </w:tcPr>
          <w:p w14:paraId="45564694" w14:textId="77777777" w:rsidR="00B8759C" w:rsidRDefault="00B8759C" w:rsidP="00A06BF7">
            <w:pPr>
              <w:keepNext/>
              <w:jc w:val="center"/>
            </w:pPr>
            <w:r>
              <w:t>9%</w:t>
            </w:r>
          </w:p>
        </w:tc>
      </w:tr>
    </w:tbl>
    <w:p w14:paraId="4AC6A25D" w14:textId="693FC3FC" w:rsidR="0053494F" w:rsidRDefault="0053494F" w:rsidP="0053494F">
      <w:r>
        <w:t>Response rates for the question about daily activities were 66% and 53% for PWDs and ACOs respectively, while response rates for the question asking about assistive supports were 90% and 56% respectively. The low response rate for PWDs on the question about needing assistance with daily activities was surprising given that nearly all other survey items reached a response rate of approximately 90% or more. One of the reasons for this may have been the lack of a “none” response choice.  PWD respondents who selected “other” (12%) wrote in responses that could generally be categorized as one of the various assistive device choices presented.</w:t>
      </w:r>
    </w:p>
    <w:p w14:paraId="69F2B77A" w14:textId="5DF85194" w:rsidR="00AE08B5" w:rsidRDefault="00E21219" w:rsidP="00AE08B5">
      <w:r>
        <w:t>Results from the question asking about assistive supports showed that many nearly half of respondents required the use of eyeglasses</w:t>
      </w:r>
      <w:r w:rsidR="00735CDF">
        <w:t>, and one-fifth used hearing aids, and around one-third of respondents used a wheelchair or scooter. While it is not possible to provide personal aides, these findings support recommendations made in planning guides regarding provisions for specific assistive technology and durable medical equipment (</w:t>
      </w:r>
      <w:r w:rsidR="00DA0C6E">
        <w:t>IOD, in press</w:t>
      </w:r>
      <w:r w:rsidR="00735CDF">
        <w:t>)</w:t>
      </w:r>
      <w:r w:rsidR="00AE08B5">
        <w:t>.</w:t>
      </w:r>
    </w:p>
    <w:p w14:paraId="4F6E4D2D" w14:textId="1F75A794" w:rsidR="00AE08B5" w:rsidRPr="007E75E9" w:rsidRDefault="00E467FB" w:rsidP="00AE08B5">
      <w:pPr>
        <w:pStyle w:val="Heading1"/>
      </w:pPr>
      <w:bookmarkStart w:id="6" w:name="_Toc461612407"/>
      <w:r>
        <w:t>Emergency Knowledge and Planning</w:t>
      </w:r>
      <w:bookmarkEnd w:id="6"/>
    </w:p>
    <w:p w14:paraId="6D0C167E" w14:textId="6FEDD830" w:rsidR="00E467FB" w:rsidRDefault="00E467FB" w:rsidP="0010589D">
      <w:r>
        <w:t>The survey asked a series of questions designed to gauge respondent</w:t>
      </w:r>
      <w:r w:rsidR="0052208B">
        <w:t>s’</w:t>
      </w:r>
      <w:r>
        <w:t xml:space="preserve"> knowledge of terminology</w:t>
      </w:r>
      <w:r w:rsidR="0052208B">
        <w:t xml:space="preserve"> commonly used in referencing emergencies and their knowledge of what to do in the event of emergency or disaster. </w:t>
      </w:r>
      <w:r>
        <w:t xml:space="preserve">The first item of this section asked respondents whether they or the person </w:t>
      </w:r>
      <w:r w:rsidR="0052208B">
        <w:t xml:space="preserve">for whom </w:t>
      </w:r>
      <w:r>
        <w:t>they were answering understood what the terms, “</w:t>
      </w:r>
      <w:r w:rsidR="00AF1FD9">
        <w:t>s</w:t>
      </w:r>
      <w:r>
        <w:t>helter in place,” “</w:t>
      </w:r>
      <w:r w:rsidR="00AF1FD9">
        <w:t>e</w:t>
      </w:r>
      <w:r>
        <w:t>vacuate,” “</w:t>
      </w:r>
      <w:r w:rsidR="00AF1FD9">
        <w:t>l</w:t>
      </w:r>
      <w:r>
        <w:t>ockdown,” “</w:t>
      </w:r>
      <w:r w:rsidR="00AF1FD9">
        <w:t>e</w:t>
      </w:r>
      <w:r>
        <w:t>mergency,” and “</w:t>
      </w:r>
      <w:r w:rsidR="00AF1FD9">
        <w:t>d</w:t>
      </w:r>
      <w:r>
        <w:t xml:space="preserve">isaster” meant. </w:t>
      </w:r>
      <w:r w:rsidR="004C5DC6">
        <w:t>These terms were chosen because of their high frequency of use in public information instructions via TV, radio, and social media announcements</w:t>
      </w:r>
      <w:r w:rsidR="0052208B">
        <w:t xml:space="preserve"> in the event of emergency or disaster</w:t>
      </w:r>
      <w:r w:rsidR="004C5DC6">
        <w:t xml:space="preserve">. </w:t>
      </w:r>
      <w:r>
        <w:t xml:space="preserve">Results are displayed in </w:t>
      </w:r>
      <w:r w:rsidR="00B55EAE">
        <w:t>Figure</w:t>
      </w:r>
      <w:r>
        <w:t xml:space="preserve"> 11.</w:t>
      </w:r>
    </w:p>
    <w:p w14:paraId="5AD7A4C1" w14:textId="77777777" w:rsidR="00FB19C4" w:rsidRDefault="00FB19C4" w:rsidP="00FB19C4">
      <w:pPr>
        <w:keepNext/>
        <w:jc w:val="center"/>
      </w:pPr>
      <w:r>
        <w:rPr>
          <w:noProof/>
        </w:rPr>
        <w:drawing>
          <wp:inline distT="0" distB="0" distL="0" distR="0" wp14:anchorId="58841BCD" wp14:editId="260DC61A">
            <wp:extent cx="5152231" cy="2913321"/>
            <wp:effectExtent l="0" t="0" r="0" b="0"/>
            <wp:docPr id="29" name="Picture 29" descr="A multi-colored vertical clustered bar graph displays the percentages of PWD (N =78) and ACO (N = 154) respondents knowledge (Yes or No response choices) of the following emergency-related terms: Shelter in place, Evacuate, Lockdown, Emergency, and Disaster. The percentages for PWD respondents are as follows: 92% Yes and 8% No for Shelter in Place; 97% Yes and 3% No for Evacuate; 96% Yes and 4% No for Lockdown; 99% Yes and 1% No for Emergency; 95% Yes and 5% No for Disaster. The percentages for ACO respondents are as follows: 30% Yes and 70% No for Shelter in Place; 60% Yes and 40% No for Evacuate; 39% Yes and 61% No for Lockdown; 73% Yes and 27% No for Emergency; 53% Yes and 47% No for Disaster." title="Figure 11: Respondents' Knowledge of Emergency-related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a:extLst>
                        <a:ext uri="{28A0092B-C50C-407E-A947-70E740481C1C}">
                          <a14:useLocalDpi xmlns:a14="http://schemas.microsoft.com/office/drawing/2010/main" val="0"/>
                        </a:ext>
                      </a:extLst>
                    </a:blip>
                    <a:srcRect b="5846"/>
                    <a:stretch/>
                  </pic:blipFill>
                  <pic:spPr bwMode="auto">
                    <a:xfrm>
                      <a:off x="0" y="0"/>
                      <a:ext cx="5181095" cy="2929642"/>
                    </a:xfrm>
                    <a:prstGeom prst="rect">
                      <a:avLst/>
                    </a:prstGeom>
                    <a:noFill/>
                    <a:ln>
                      <a:noFill/>
                    </a:ln>
                    <a:extLst>
                      <a:ext uri="{53640926-AAD7-44D8-BBD7-CCE9431645EC}">
                        <a14:shadowObscured xmlns:a14="http://schemas.microsoft.com/office/drawing/2010/main"/>
                      </a:ext>
                    </a:extLst>
                  </pic:spPr>
                </pic:pic>
              </a:graphicData>
            </a:graphic>
          </wp:inline>
        </w:drawing>
      </w:r>
    </w:p>
    <w:p w14:paraId="1611F014" w14:textId="67E98917" w:rsidR="00B312F0" w:rsidRDefault="00FB19C4" w:rsidP="00FB19C4">
      <w:pPr>
        <w:pStyle w:val="Caption"/>
        <w:jc w:val="center"/>
      </w:pPr>
      <w:r>
        <w:t xml:space="preserve">Figure </w:t>
      </w:r>
      <w:r w:rsidR="006C604C">
        <w:fldChar w:fldCharType="begin"/>
      </w:r>
      <w:r w:rsidR="006C604C">
        <w:instrText xml:space="preserve"> SEQ Figure \* ARABIC </w:instrText>
      </w:r>
      <w:r w:rsidR="006C604C">
        <w:fldChar w:fldCharType="separate"/>
      </w:r>
      <w:r w:rsidR="00C40893">
        <w:rPr>
          <w:noProof/>
        </w:rPr>
        <w:t>11</w:t>
      </w:r>
      <w:r w:rsidR="006C604C">
        <w:rPr>
          <w:noProof/>
        </w:rPr>
        <w:fldChar w:fldCharType="end"/>
      </w:r>
      <w:r w:rsidR="003775E2">
        <w:rPr>
          <w:noProof/>
        </w:rPr>
        <w:t>.</w:t>
      </w:r>
      <w:r w:rsidR="00AF1FD9">
        <w:rPr>
          <w:i w:val="0"/>
        </w:rPr>
        <w:t xml:space="preserve"> Respondents’</w:t>
      </w:r>
      <w:r w:rsidRPr="00FB19C4">
        <w:rPr>
          <w:i w:val="0"/>
        </w:rPr>
        <w:t xml:space="preserve"> Knowledge of Emergency-related Terms</w:t>
      </w:r>
    </w:p>
    <w:p w14:paraId="092118D2" w14:textId="2F32386E" w:rsidR="00B312F0" w:rsidRDefault="00B312F0" w:rsidP="00B312F0">
      <w:r>
        <w:t>The most apparent finding from this item is the discrepancy between how PWD and ACO</w:t>
      </w:r>
      <w:r w:rsidR="003A4B41">
        <w:t xml:space="preserve"> respondents</w:t>
      </w:r>
      <w:r>
        <w:t xml:space="preserve"> reported their understanding of emergency-</w:t>
      </w:r>
      <w:r w:rsidR="00A81250">
        <w:t>related terms; mainly, that PWDs</w:t>
      </w:r>
      <w:r>
        <w:t xml:space="preserve"> by and large reported knowing what all of the terms meant, whereas many of the ACOs responding on behalf of a person with disabilities reported variability in whether the person </w:t>
      </w:r>
      <w:r w:rsidR="0052208B">
        <w:t xml:space="preserve">for whom </w:t>
      </w:r>
      <w:r>
        <w:t>they were answering knew what the terms meant. This finding may not be surprising</w:t>
      </w:r>
      <w:r w:rsidR="00435CB0">
        <w:t xml:space="preserve"> when considering</w:t>
      </w:r>
      <w:r>
        <w:t xml:space="preserve"> the likelihood that the person on whose behalf ACOs were responding</w:t>
      </w:r>
      <w:r w:rsidR="00484A0F">
        <w:t xml:space="preserve"> may</w:t>
      </w:r>
      <w:r>
        <w:t xml:space="preserve"> have</w:t>
      </w:r>
      <w:r w:rsidR="00484A0F">
        <w:t xml:space="preserve"> had</w:t>
      </w:r>
      <w:r>
        <w:t xml:space="preserve"> more significant needs than PWDs who responded </w:t>
      </w:r>
      <w:r w:rsidR="00B12FB7">
        <w:t>on their own behalf</w:t>
      </w:r>
      <w:r>
        <w:t>. Another explanation for these results may be that PWD</w:t>
      </w:r>
      <w:r w:rsidR="004D70DA">
        <w:t xml:space="preserve"> respondents</w:t>
      </w:r>
      <w:r>
        <w:t xml:space="preserve"> were less likely to report not knowing what the terms meant because of a tendency to respond in a socially-desirable way, acquiescing to what others in their lives would want them to say. Recommendations for clarifying respondents’ understanding of emergency-related terms </w:t>
      </w:r>
      <w:r w:rsidR="00D23E26">
        <w:t>are</w:t>
      </w:r>
      <w:r>
        <w:t xml:space="preserve"> presented in the </w:t>
      </w:r>
      <w:r w:rsidR="0052208B">
        <w:t xml:space="preserve">“Implications for further study” </w:t>
      </w:r>
      <w:r>
        <w:t>section at the end of th</w:t>
      </w:r>
      <w:r w:rsidR="0052208B">
        <w:t>is</w:t>
      </w:r>
      <w:r>
        <w:t xml:space="preserve"> report.</w:t>
      </w:r>
    </w:p>
    <w:p w14:paraId="31218C1B" w14:textId="177BBD37" w:rsidR="00B312F0" w:rsidRDefault="00B312F0" w:rsidP="00B312F0">
      <w:pPr>
        <w:keepNext/>
      </w:pPr>
      <w:r>
        <w:t>The next</w:t>
      </w:r>
      <w:r w:rsidR="00D23E26">
        <w:t xml:space="preserve"> two</w:t>
      </w:r>
      <w:r>
        <w:t xml:space="preserve"> question</w:t>
      </w:r>
      <w:r w:rsidR="00D23E26">
        <w:t>s</w:t>
      </w:r>
      <w:r>
        <w:t xml:space="preserve"> on the survey asked respondents</w:t>
      </w:r>
      <w:r w:rsidR="00D23E26">
        <w:t xml:space="preserve"> 1)</w:t>
      </w:r>
      <w:r>
        <w:t xml:space="preserve"> whether they or the person </w:t>
      </w:r>
      <w:r w:rsidR="0052208B">
        <w:t xml:space="preserve">on whose behalf they </w:t>
      </w:r>
      <w:r>
        <w:t>were responding</w:t>
      </w:r>
      <w:r w:rsidR="003A4B41">
        <w:t xml:space="preserve"> </w:t>
      </w:r>
      <w:r>
        <w:t xml:space="preserve">knew </w:t>
      </w:r>
      <w:r w:rsidRPr="00B55EAE">
        <w:rPr>
          <w:rStyle w:val="Emphasis"/>
        </w:rPr>
        <w:t>what they would do</w:t>
      </w:r>
      <w:r>
        <w:t xml:space="preserve"> in an emergency if they had to quickly leave from places where they and their family spend time (e.g., work place, school, shopping center</w:t>
      </w:r>
      <w:r w:rsidR="00D23E26">
        <w:t>)</w:t>
      </w:r>
      <w:r w:rsidR="00DC467F">
        <w:t>,</w:t>
      </w:r>
      <w:r w:rsidR="00D23E26">
        <w:t xml:space="preserve"> and 2)</w:t>
      </w:r>
      <w:r>
        <w:t xml:space="preserve"> whether they or the person </w:t>
      </w:r>
      <w:r w:rsidR="0052208B">
        <w:t xml:space="preserve">for whom </w:t>
      </w:r>
      <w:r>
        <w:t>they were answering</w:t>
      </w:r>
      <w:r w:rsidR="003A4B41">
        <w:t xml:space="preserve"> </w:t>
      </w:r>
      <w:r w:rsidRPr="00420DE7">
        <w:rPr>
          <w:rStyle w:val="Emphasis"/>
          <w:i w:val="0"/>
        </w:rPr>
        <w:t xml:space="preserve">knew </w:t>
      </w:r>
      <w:r w:rsidRPr="00B55EAE">
        <w:rPr>
          <w:rStyle w:val="Emphasis"/>
        </w:rPr>
        <w:t>where to go</w:t>
      </w:r>
      <w:r>
        <w:rPr>
          <w:i/>
        </w:rPr>
        <w:t xml:space="preserve"> </w:t>
      </w:r>
      <w:r>
        <w:t>if they had to leave home/school/a workplace in an emergency</w:t>
      </w:r>
      <w:r w:rsidR="004C5DC6">
        <w:t>.</w:t>
      </w:r>
      <w:r>
        <w:t xml:space="preserve"> Percentages of </w:t>
      </w:r>
      <w:r w:rsidR="003B5567">
        <w:t xml:space="preserve">respondents knowing where to go or what to do </w:t>
      </w:r>
      <w:r w:rsidR="00484A0F">
        <w:t xml:space="preserve">are displayed in </w:t>
      </w:r>
      <w:r w:rsidR="007005AD">
        <w:t>Figure</w:t>
      </w:r>
      <w:r w:rsidR="00B55EAE">
        <w:t xml:space="preserve"> 12.</w:t>
      </w:r>
    </w:p>
    <w:p w14:paraId="4C0FEF1B" w14:textId="77777777" w:rsidR="00FB44AF" w:rsidRDefault="00FB44AF" w:rsidP="00FB44AF">
      <w:pPr>
        <w:keepNext/>
        <w:jc w:val="center"/>
      </w:pPr>
      <w:r>
        <w:rPr>
          <w:noProof/>
        </w:rPr>
        <w:drawing>
          <wp:inline distT="0" distB="0" distL="0" distR="0" wp14:anchorId="1EA806A4" wp14:editId="61BE100D">
            <wp:extent cx="4578350" cy="3328670"/>
            <wp:effectExtent l="0" t="0" r="0" b="0"/>
            <wp:docPr id="30" name="Picture 30" descr="A stacked bar graph displays percentages of PWD (N = 77) and ACO (N = 153) respondents' answers to questions about whether they or the person they were answering for knew what to do, and where to go in an emergency situation. Response choices included &quot;Yes,&quot; &quot;No,&quot; and &quot;Unsure.&quot; Percentages for PWD respondents are as follows: for where to go 51% Yes, 26% No, and 23% Unsure; for what to do 65% Yes, 14% No, and 21% Unsure. The percentages for ACO respondents are as follows: for where to go 21% Yes, 50% No, and 29% Unsure; for what to do 33% Yes, 31% No, and 35% Unsure." title="Figure 12: Respondents' Knowledge of What to do and Where to go in an Emergency Si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8350" cy="3328670"/>
                    </a:xfrm>
                    <a:prstGeom prst="rect">
                      <a:avLst/>
                    </a:prstGeom>
                    <a:noFill/>
                  </pic:spPr>
                </pic:pic>
              </a:graphicData>
            </a:graphic>
          </wp:inline>
        </w:drawing>
      </w:r>
    </w:p>
    <w:p w14:paraId="5F0C4C7F" w14:textId="1331F266" w:rsidR="00FB44AF" w:rsidRDefault="00FB44AF" w:rsidP="00FB44AF">
      <w:pPr>
        <w:pStyle w:val="Caption"/>
        <w:jc w:val="center"/>
      </w:pPr>
      <w:r>
        <w:t xml:space="preserve">Figure </w:t>
      </w:r>
      <w:r w:rsidR="006C604C">
        <w:fldChar w:fldCharType="begin"/>
      </w:r>
      <w:r w:rsidR="006C604C">
        <w:instrText xml:space="preserve"> SEQ Figure \* ARABIC </w:instrText>
      </w:r>
      <w:r w:rsidR="006C604C">
        <w:fldChar w:fldCharType="separate"/>
      </w:r>
      <w:r w:rsidR="00C40893">
        <w:rPr>
          <w:noProof/>
        </w:rPr>
        <w:t>12</w:t>
      </w:r>
      <w:r w:rsidR="006C604C">
        <w:rPr>
          <w:noProof/>
        </w:rPr>
        <w:fldChar w:fldCharType="end"/>
      </w:r>
      <w:r>
        <w:t xml:space="preserve">. </w:t>
      </w:r>
      <w:r w:rsidRPr="00FB44AF">
        <w:rPr>
          <w:i w:val="0"/>
        </w:rPr>
        <w:t>Respondents</w:t>
      </w:r>
      <w:r w:rsidR="003775E2">
        <w:rPr>
          <w:i w:val="0"/>
        </w:rPr>
        <w:t>’</w:t>
      </w:r>
      <w:r w:rsidRPr="00FB44AF">
        <w:rPr>
          <w:i w:val="0"/>
        </w:rPr>
        <w:t xml:space="preserve"> Knowledge of What to do and Where to go in an Emergency Situation</w:t>
      </w:r>
    </w:p>
    <w:p w14:paraId="21A5B69A" w14:textId="3C151323" w:rsidR="006609D6" w:rsidRDefault="003B5567" w:rsidP="006609D6">
      <w:r>
        <w:t>The</w:t>
      </w:r>
      <w:r w:rsidR="006609D6">
        <w:t xml:space="preserve"> survey asked respondents whether they or the person </w:t>
      </w:r>
      <w:r w:rsidR="0052208B">
        <w:t xml:space="preserve">for whom </w:t>
      </w:r>
      <w:r w:rsidR="006609D6">
        <w:t xml:space="preserve">they were answering knew </w:t>
      </w:r>
      <w:r w:rsidR="006609D6" w:rsidRPr="004C5DC6">
        <w:rPr>
          <w:i/>
        </w:rPr>
        <w:t>how</w:t>
      </w:r>
      <w:r w:rsidR="006609D6">
        <w:t xml:space="preserve"> they would leave an emergency or disaster area. The responses for this item </w:t>
      </w:r>
      <w:r w:rsidR="0052208B">
        <w:t>are</w:t>
      </w:r>
      <w:r w:rsidR="006609D6">
        <w:t xml:space="preserve"> displayed in </w:t>
      </w:r>
      <w:r w:rsidR="007005AD">
        <w:t>Figure</w:t>
      </w:r>
      <w:r w:rsidR="006609D6">
        <w:t xml:space="preserve"> 13. The majority of ACO respondents (</w:t>
      </w:r>
      <w:r w:rsidR="004D70DA">
        <w:t>54</w:t>
      </w:r>
      <w:r w:rsidR="006609D6">
        <w:t xml:space="preserve">%) indicated that the person </w:t>
      </w:r>
      <w:r w:rsidR="0052208B">
        <w:t xml:space="preserve">for whom </w:t>
      </w:r>
      <w:r w:rsidR="006609D6">
        <w:t>they were answering would not know how to leave an emergency or disaster area, which</w:t>
      </w:r>
      <w:r w:rsidR="003775E2">
        <w:t xml:space="preserve"> </w:t>
      </w:r>
      <w:r w:rsidR="006609D6">
        <w:t>indicate</w:t>
      </w:r>
      <w:r w:rsidR="003775E2">
        <w:t>s</w:t>
      </w:r>
      <w:r w:rsidR="006609D6">
        <w:t xml:space="preserve"> more support is needed to both educate and assist people with significant needs about appropriate emergency or disaster situation protocols and procedures.</w:t>
      </w:r>
    </w:p>
    <w:p w14:paraId="7D5D8937" w14:textId="7094D984" w:rsidR="00CA76CD" w:rsidRDefault="0018243D" w:rsidP="00CA76CD">
      <w:pPr>
        <w:keepNext/>
        <w:jc w:val="center"/>
      </w:pPr>
      <w:r>
        <w:rPr>
          <w:noProof/>
        </w:rPr>
        <w:drawing>
          <wp:inline distT="0" distB="0" distL="0" distR="0" wp14:anchorId="5E3EE373" wp14:editId="3D7C9CB6">
            <wp:extent cx="5187950" cy="2018030"/>
            <wp:effectExtent l="0" t="0" r="0" b="0"/>
            <wp:docPr id="6" name="Picture 6" descr="A horizontal bar graph shows percentages of PWD (N = 77) and ACO (N = 152) respondents' answer (either &quot;Yes,&quot; &quot;No,&quot; &quot;Unsure,&quot; or &quot;I [they] drive&quot;) to the survey question asking about whether they or the person they were answering for knew how to leave an emergency or disaster area. Percentages for PWD respondents are as follows: 23% Yes, 12% No, 14% Unsure, and 51% I drive. Percentages for ACO respondents are as follows: 11% Yes, 54% No, 26% Unsure, and 9% They drive." title="Figure 13. Respondents’ Knowledge of How to Leave an Emergency or Disaster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7950" cy="2018030"/>
                    </a:xfrm>
                    <a:prstGeom prst="rect">
                      <a:avLst/>
                    </a:prstGeom>
                    <a:noFill/>
                  </pic:spPr>
                </pic:pic>
              </a:graphicData>
            </a:graphic>
          </wp:inline>
        </w:drawing>
      </w:r>
    </w:p>
    <w:p w14:paraId="1D2CA0F7" w14:textId="459670E2" w:rsidR="006609D6" w:rsidRDefault="00CA76CD" w:rsidP="00CA76CD">
      <w:pPr>
        <w:pStyle w:val="Caption"/>
        <w:jc w:val="center"/>
      </w:pPr>
      <w:r>
        <w:t xml:space="preserve">Figure </w:t>
      </w:r>
      <w:r w:rsidR="006C604C">
        <w:fldChar w:fldCharType="begin"/>
      </w:r>
      <w:r w:rsidR="006C604C">
        <w:instrText xml:space="preserve"> SEQ Figure \* ARABIC </w:instrText>
      </w:r>
      <w:r w:rsidR="006C604C">
        <w:fldChar w:fldCharType="separate"/>
      </w:r>
      <w:r w:rsidR="00C40893">
        <w:rPr>
          <w:noProof/>
        </w:rPr>
        <w:t>13</w:t>
      </w:r>
      <w:r w:rsidR="006C604C">
        <w:rPr>
          <w:noProof/>
        </w:rPr>
        <w:fldChar w:fldCharType="end"/>
      </w:r>
      <w:r w:rsidR="007646DE">
        <w:t>.</w:t>
      </w:r>
      <w:r>
        <w:t xml:space="preserve"> </w:t>
      </w:r>
      <w:r w:rsidRPr="007646DE">
        <w:rPr>
          <w:i w:val="0"/>
        </w:rPr>
        <w:t>Respondents</w:t>
      </w:r>
      <w:r w:rsidR="007646DE" w:rsidRPr="007646DE">
        <w:rPr>
          <w:i w:val="0"/>
        </w:rPr>
        <w:t>’</w:t>
      </w:r>
      <w:r w:rsidRPr="007646DE">
        <w:rPr>
          <w:i w:val="0"/>
        </w:rPr>
        <w:t xml:space="preserve"> Knowledge of How to Leave an Emergency or Disaster Area</w:t>
      </w:r>
    </w:p>
    <w:p w14:paraId="2212BADA" w14:textId="01D06F87" w:rsidR="00CA76CD" w:rsidRDefault="00CA76CD" w:rsidP="00CA76CD">
      <w:pPr>
        <w:spacing w:line="240" w:lineRule="auto"/>
      </w:pPr>
      <w:r>
        <w:t>The next item on the survey asked respondents if they or the person</w:t>
      </w:r>
      <w:r w:rsidR="0052208B">
        <w:t xml:space="preserve"> for whom</w:t>
      </w:r>
      <w:r>
        <w:t xml:space="preserve"> they were answering had contacted their local fire/police department or power company to let them know they have special needs</w:t>
      </w:r>
      <w:r w:rsidR="007646DE">
        <w:t xml:space="preserve"> that might impact their ability to </w:t>
      </w:r>
      <w:r w:rsidR="0052208B">
        <w:t xml:space="preserve">shelter safely </w:t>
      </w:r>
      <w:r w:rsidR="007646DE">
        <w:t>in place, or to evacuate.</w:t>
      </w:r>
      <w:r>
        <w:t xml:space="preserve"> Results are displayed in </w:t>
      </w:r>
      <w:r w:rsidR="007005AD">
        <w:t>Figure</w:t>
      </w:r>
      <w:r>
        <w:t xml:space="preserve"> 14. </w:t>
      </w:r>
      <w:r w:rsidR="00134E98">
        <w:t xml:space="preserve">Significantly, the </w:t>
      </w:r>
      <w:r>
        <w:t xml:space="preserve">majority of both </w:t>
      </w:r>
      <w:r w:rsidR="00484A0F">
        <w:t>categories</w:t>
      </w:r>
      <w:r>
        <w:t xml:space="preserve"> of respondents indicated that they had not contacted their local authorities to alert them </w:t>
      </w:r>
      <w:r w:rsidR="00484A0F">
        <w:t>of</w:t>
      </w:r>
      <w:r>
        <w:t xml:space="preserve"> their special needs.</w:t>
      </w:r>
    </w:p>
    <w:p w14:paraId="09130663" w14:textId="1660A431" w:rsidR="00913AA8" w:rsidRDefault="0057098F" w:rsidP="00913AA8">
      <w:pPr>
        <w:keepNext/>
        <w:spacing w:line="240" w:lineRule="auto"/>
        <w:jc w:val="center"/>
      </w:pPr>
      <w:r>
        <w:rPr>
          <w:noProof/>
        </w:rPr>
        <w:drawing>
          <wp:inline distT="0" distB="0" distL="0" distR="0" wp14:anchorId="4BE97FBF" wp14:editId="2B1AD91F">
            <wp:extent cx="4846955" cy="1969135"/>
            <wp:effectExtent l="0" t="0" r="0" b="0"/>
            <wp:docPr id="32" name="Picture 32" descr="A horizontal clustered bar graph shows the percentage of PWD (N = 78) and ACO (N = 154) respondents who answered whether they or the person they were answering for had contacted local fire/police departments or power companies to let them know about their special needs. Percentages for PWD respondents are as follows: 27% Yes, 68% No, 5% Unsure. Percentages for ACO respondents are as follows: 21% Yes, 66% No, 13% Unsure." title="Figure 14: Respondents who have Contacted Local Fire/Police Departments or Power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6955" cy="1969135"/>
                    </a:xfrm>
                    <a:prstGeom prst="rect">
                      <a:avLst/>
                    </a:prstGeom>
                    <a:noFill/>
                  </pic:spPr>
                </pic:pic>
              </a:graphicData>
            </a:graphic>
          </wp:inline>
        </w:drawing>
      </w:r>
    </w:p>
    <w:p w14:paraId="7D336930" w14:textId="377574FB" w:rsidR="00CA76CD" w:rsidRPr="007646DE" w:rsidRDefault="00913AA8" w:rsidP="00913AA8">
      <w:pPr>
        <w:pStyle w:val="Caption"/>
        <w:jc w:val="center"/>
        <w:rPr>
          <w:i w:val="0"/>
        </w:rPr>
      </w:pPr>
      <w:r>
        <w:t xml:space="preserve">Figure </w:t>
      </w:r>
      <w:r w:rsidR="006C604C">
        <w:fldChar w:fldCharType="begin"/>
      </w:r>
      <w:r w:rsidR="006C604C">
        <w:instrText xml:space="preserve"> SEQ Figure \* ARABIC </w:instrText>
      </w:r>
      <w:r w:rsidR="006C604C">
        <w:fldChar w:fldCharType="separate"/>
      </w:r>
      <w:r w:rsidR="00C40893">
        <w:rPr>
          <w:noProof/>
        </w:rPr>
        <w:t>14</w:t>
      </w:r>
      <w:r w:rsidR="006C604C">
        <w:rPr>
          <w:noProof/>
        </w:rPr>
        <w:fldChar w:fldCharType="end"/>
      </w:r>
      <w:r w:rsidR="007646DE">
        <w:t>.</w:t>
      </w:r>
      <w:r>
        <w:t xml:space="preserve"> </w:t>
      </w:r>
      <w:r w:rsidRPr="007646DE">
        <w:rPr>
          <w:i w:val="0"/>
        </w:rPr>
        <w:t>Respondents who have Contacted Local Fire/Police Departments or Power Company</w:t>
      </w:r>
    </w:p>
    <w:p w14:paraId="06A5490B" w14:textId="02A8304F" w:rsidR="00913AA8" w:rsidRDefault="00134E98" w:rsidP="00913AA8">
      <w:pPr>
        <w:spacing w:line="240" w:lineRule="auto"/>
      </w:pPr>
      <w:r>
        <w:t xml:space="preserve">Figure 15 displays responses to the </w:t>
      </w:r>
      <w:r w:rsidR="00913AA8">
        <w:t>survey item ask</w:t>
      </w:r>
      <w:r>
        <w:t>ing</w:t>
      </w:r>
      <w:r w:rsidR="00913AA8">
        <w:t xml:space="preserve"> respondents to </w:t>
      </w:r>
      <w:r>
        <w:t>select</w:t>
      </w:r>
      <w:r w:rsidR="00913AA8">
        <w:t xml:space="preserve"> how they received information about emergencies or disasters in their area from the following list of choices: </w:t>
      </w:r>
      <w:r w:rsidR="007646DE">
        <w:t>t</w:t>
      </w:r>
      <w:r w:rsidR="00913AA8">
        <w:t xml:space="preserve">elevision, </w:t>
      </w:r>
      <w:r w:rsidR="007646DE">
        <w:t>s</w:t>
      </w:r>
      <w:r w:rsidR="00913AA8">
        <w:t>ocial media</w:t>
      </w:r>
      <w:r w:rsidR="00A175D7">
        <w:t xml:space="preserve"> (like Facebook, </w:t>
      </w:r>
      <w:r w:rsidR="00165CCD">
        <w:t>Twitter, and others)</w:t>
      </w:r>
      <w:r w:rsidR="00913AA8">
        <w:t xml:space="preserve">, </w:t>
      </w:r>
      <w:r w:rsidR="007646DE">
        <w:t>t</w:t>
      </w:r>
      <w:r w:rsidR="00913AA8">
        <w:t xml:space="preserve">elephone, </w:t>
      </w:r>
      <w:r w:rsidR="007646DE">
        <w:t>v</w:t>
      </w:r>
      <w:r w:rsidR="00913AA8">
        <w:t xml:space="preserve">ideo relay, </w:t>
      </w:r>
      <w:r w:rsidR="007646DE">
        <w:t>r</w:t>
      </w:r>
      <w:r w:rsidR="00913AA8">
        <w:t xml:space="preserve">adio, </w:t>
      </w:r>
      <w:r w:rsidR="007646DE">
        <w:t>i</w:t>
      </w:r>
      <w:r w:rsidR="00913AA8">
        <w:t xml:space="preserve">nternet, </w:t>
      </w:r>
      <w:r w:rsidR="007646DE">
        <w:t>n</w:t>
      </w:r>
      <w:r w:rsidR="00913AA8">
        <w:t xml:space="preserve">eighbor or friend, </w:t>
      </w:r>
      <w:r w:rsidR="007646DE">
        <w:t>l</w:t>
      </w:r>
      <w:r w:rsidR="00913AA8">
        <w:t xml:space="preserve">ook outside, </w:t>
      </w:r>
      <w:r w:rsidR="007646DE">
        <w:t>p</w:t>
      </w:r>
      <w:r w:rsidR="00913AA8">
        <w:t xml:space="preserve">olice or other first responders, or </w:t>
      </w:r>
      <w:r w:rsidR="007646DE">
        <w:t>u</w:t>
      </w:r>
      <w:r w:rsidR="00913AA8">
        <w:t xml:space="preserve">nsure. One-third of ACO respondents </w:t>
      </w:r>
      <w:r>
        <w:t xml:space="preserve">utilized </w:t>
      </w:r>
      <w:r w:rsidR="00913AA8">
        <w:t>the “</w:t>
      </w:r>
      <w:r w:rsidR="00087836">
        <w:t>o</w:t>
      </w:r>
      <w:r w:rsidR="00913AA8">
        <w:t>ther” response choice</w:t>
      </w:r>
      <w:r>
        <w:t>.</w:t>
      </w:r>
      <w:r w:rsidR="00913AA8">
        <w:t xml:space="preserve"> </w:t>
      </w:r>
      <w:r>
        <w:t>I</w:t>
      </w:r>
      <w:r w:rsidR="00913AA8">
        <w:t>nspection of written responses revealed that 45 out of 51 (88%) “</w:t>
      </w:r>
      <w:proofErr w:type="gramStart"/>
      <w:r w:rsidR="00087836">
        <w:t>o</w:t>
      </w:r>
      <w:r w:rsidR="00913AA8">
        <w:t>ther</w:t>
      </w:r>
      <w:proofErr w:type="gramEnd"/>
      <w:r w:rsidR="00913AA8">
        <w:t xml:space="preserve">” responses indicated that the person </w:t>
      </w:r>
      <w:r w:rsidR="0052208B">
        <w:t xml:space="preserve">for whom </w:t>
      </w:r>
      <w:r w:rsidR="00913AA8">
        <w:t xml:space="preserve">the ACO was responding would </w:t>
      </w:r>
      <w:r w:rsidR="007646DE">
        <w:t>receive</w:t>
      </w:r>
      <w:r w:rsidR="00913AA8">
        <w:t xml:space="preserve"> information from staff, caregivers, or family members.</w:t>
      </w:r>
      <w:r w:rsidR="00A175D7">
        <w:t xml:space="preserve"> As per these findings, given the importance of social media and the </w:t>
      </w:r>
      <w:r w:rsidR="00165CCD">
        <w:t>I</w:t>
      </w:r>
      <w:r w:rsidR="00A175D7">
        <w:t>nternet as a means for individuals to receive information about emergency or disaster situations, emergency planners should continually monitor trends, utilization, and accessibility of these platforms and applications.</w:t>
      </w:r>
    </w:p>
    <w:p w14:paraId="2F74B86E" w14:textId="3F327B92" w:rsidR="00A00967" w:rsidRDefault="0057098F" w:rsidP="0057098F">
      <w:pPr>
        <w:keepNext/>
        <w:spacing w:line="240" w:lineRule="auto"/>
        <w:jc w:val="center"/>
      </w:pPr>
      <w:r>
        <w:rPr>
          <w:noProof/>
        </w:rPr>
        <w:drawing>
          <wp:inline distT="0" distB="0" distL="0" distR="0" wp14:anchorId="517A89A9" wp14:editId="49FB0B87">
            <wp:extent cx="6041390" cy="3291840"/>
            <wp:effectExtent l="0" t="0" r="0" b="0"/>
            <wp:docPr id="33" name="Picture 33" descr="A vertical clustered bi-colored bar graph shows percentages of PWD (N = 77) and ACO (N = 154) respondents' modes of receiving emergency-related information. Percentages for PWD respondents are as follows: 82% Television, 64% Social media (like Facebook, Twitter, others), 48% Telephone, 5% Video relay, 35% Radio, 79% Internet; 52% Neighbor or friend, 48% Look outside, 27% Police or other first responders, 3% Unsure, 4% Other. Percentages for ACO respondents are as follows: 51% Television, 18% Social media (like Facebook, Twitter, others), 33% Telephone, 1% Video relay, 16% Radio, 22% Internet; 40% Neighbor or friend, 29% Look outside, 28% Police or other first responders, 13% Unsure, 33% Other." title="Figure 15. Channels of Emergency-related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1390" cy="3291840"/>
                    </a:xfrm>
                    <a:prstGeom prst="rect">
                      <a:avLst/>
                    </a:prstGeom>
                    <a:noFill/>
                  </pic:spPr>
                </pic:pic>
              </a:graphicData>
            </a:graphic>
          </wp:inline>
        </w:drawing>
      </w:r>
    </w:p>
    <w:p w14:paraId="2874B5E2" w14:textId="5A2E0E96" w:rsidR="00913AA8" w:rsidRDefault="00A00967" w:rsidP="00A00967">
      <w:pPr>
        <w:pStyle w:val="Caption"/>
        <w:jc w:val="center"/>
      </w:pPr>
      <w:r>
        <w:t xml:space="preserve">Figure </w:t>
      </w:r>
      <w:r w:rsidR="006C604C">
        <w:fldChar w:fldCharType="begin"/>
      </w:r>
      <w:r w:rsidR="006C604C">
        <w:instrText xml:space="preserve"> SEQ Figure \* ARABIC </w:instrText>
      </w:r>
      <w:r w:rsidR="006C604C">
        <w:fldChar w:fldCharType="separate"/>
      </w:r>
      <w:r w:rsidR="00C40893">
        <w:rPr>
          <w:noProof/>
        </w:rPr>
        <w:t>15</w:t>
      </w:r>
      <w:r w:rsidR="006C604C">
        <w:rPr>
          <w:noProof/>
        </w:rPr>
        <w:fldChar w:fldCharType="end"/>
      </w:r>
      <w:r w:rsidR="007646DE">
        <w:t>.</w:t>
      </w:r>
      <w:r>
        <w:t xml:space="preserve"> </w:t>
      </w:r>
      <w:r w:rsidR="00DB4773" w:rsidRPr="007646DE">
        <w:rPr>
          <w:i w:val="0"/>
        </w:rPr>
        <w:t xml:space="preserve">Channels of </w:t>
      </w:r>
      <w:r w:rsidRPr="007646DE">
        <w:rPr>
          <w:i w:val="0"/>
        </w:rPr>
        <w:t>Emergency-related Information</w:t>
      </w:r>
    </w:p>
    <w:p w14:paraId="0982BDB9" w14:textId="521A2EDE" w:rsidR="00A00967" w:rsidRDefault="00A00967" w:rsidP="00A00967">
      <w:pPr>
        <w:tabs>
          <w:tab w:val="left" w:pos="1890"/>
        </w:tabs>
      </w:pPr>
      <w:r>
        <w:t xml:space="preserve">The survey asked respondents whether they or the person </w:t>
      </w:r>
      <w:r w:rsidR="00534823">
        <w:t xml:space="preserve">for whom </w:t>
      </w:r>
      <w:r>
        <w:t xml:space="preserve">they were answering had an emergency plan. The majority of respondents, both PWDs and ACOs, indicated that they or the person </w:t>
      </w:r>
      <w:r w:rsidR="00534823">
        <w:t xml:space="preserve">for whom </w:t>
      </w:r>
      <w:r>
        <w:t xml:space="preserve">they were answering did </w:t>
      </w:r>
      <w:r w:rsidRPr="0018243D">
        <w:rPr>
          <w:i/>
        </w:rPr>
        <w:t>not</w:t>
      </w:r>
      <w:r w:rsidRPr="007646DE">
        <w:t xml:space="preserve"> </w:t>
      </w:r>
      <w:r>
        <w:t xml:space="preserve">have an emergency plan. Figure 16 displays </w:t>
      </w:r>
      <w:r w:rsidR="00DB4773">
        <w:t>responses for this question.</w:t>
      </w:r>
    </w:p>
    <w:p w14:paraId="51406E1D" w14:textId="3E2AB0CA" w:rsidR="00A00967" w:rsidRDefault="0057098F" w:rsidP="00A00967">
      <w:pPr>
        <w:keepNext/>
        <w:tabs>
          <w:tab w:val="left" w:pos="1890"/>
        </w:tabs>
        <w:jc w:val="center"/>
      </w:pPr>
      <w:r>
        <w:rPr>
          <w:noProof/>
        </w:rPr>
        <w:drawing>
          <wp:inline distT="0" distB="0" distL="0" distR="0" wp14:anchorId="32602BAF" wp14:editId="5C000364">
            <wp:extent cx="4572635" cy="2743200"/>
            <wp:effectExtent l="0" t="0" r="0" b="0"/>
            <wp:docPr id="34" name="Picture 34" descr="A three dimensional, tri-colored, clustered vertical bar graph displays percentages of PWD (N = 78) and ACO (N = 152) respondents answers to the survey question asking about whether they or the person they were answering for had an emergency plan. Percentages for PWD respondents are as follows: 36% Yes, 55% No, 9% Unsure. Percentages for ACO respondents are as follows: 19% Yes, 63% No, 18% Unsure." title="Figure 16: Emergency Plan across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1860B3FA" w14:textId="57FEE088" w:rsidR="00A00967" w:rsidRDefault="00A00967" w:rsidP="00A00967">
      <w:pPr>
        <w:pStyle w:val="Caption"/>
        <w:jc w:val="center"/>
      </w:pPr>
      <w:r>
        <w:t xml:space="preserve">Figure </w:t>
      </w:r>
      <w:r w:rsidR="006C604C">
        <w:fldChar w:fldCharType="begin"/>
      </w:r>
      <w:r w:rsidR="006C604C">
        <w:instrText xml:space="preserve"> SEQ Figure \* ARABIC </w:instrText>
      </w:r>
      <w:r w:rsidR="006C604C">
        <w:fldChar w:fldCharType="separate"/>
      </w:r>
      <w:r w:rsidR="00C40893">
        <w:rPr>
          <w:noProof/>
        </w:rPr>
        <w:t>16</w:t>
      </w:r>
      <w:r w:rsidR="006C604C">
        <w:rPr>
          <w:noProof/>
        </w:rPr>
        <w:fldChar w:fldCharType="end"/>
      </w:r>
      <w:r w:rsidR="00721C76">
        <w:rPr>
          <w:noProof/>
        </w:rPr>
        <w:t>.</w:t>
      </w:r>
      <w:r>
        <w:t xml:space="preserve"> </w:t>
      </w:r>
      <w:r w:rsidRPr="00721C76">
        <w:rPr>
          <w:i w:val="0"/>
        </w:rPr>
        <w:t xml:space="preserve">Emergency Plan </w:t>
      </w:r>
      <w:r w:rsidR="00FD61D2" w:rsidRPr="00721C76">
        <w:rPr>
          <w:i w:val="0"/>
        </w:rPr>
        <w:t>across</w:t>
      </w:r>
      <w:r w:rsidRPr="00721C76">
        <w:rPr>
          <w:i w:val="0"/>
        </w:rPr>
        <w:t xml:space="preserve"> Respondents</w:t>
      </w:r>
    </w:p>
    <w:p w14:paraId="76DB08E8" w14:textId="77777777" w:rsidR="00F02AC7" w:rsidRDefault="00F02AC7" w:rsidP="00A00967">
      <w:pPr>
        <w:tabs>
          <w:tab w:val="left" w:pos="1890"/>
        </w:tabs>
      </w:pPr>
      <w:r>
        <w:br w:type="page"/>
      </w:r>
    </w:p>
    <w:p w14:paraId="77B529B0" w14:textId="1F1BBC22" w:rsidR="00A00967" w:rsidRDefault="00534823" w:rsidP="00A00967">
      <w:pPr>
        <w:tabs>
          <w:tab w:val="left" w:pos="1890"/>
        </w:tabs>
      </w:pPr>
      <w:r>
        <w:t>Only t</w:t>
      </w:r>
      <w:r w:rsidR="00CD2B3F">
        <w:t xml:space="preserve">wenty-eight PWD respondents and 29 ACO respondents indicated having a personal emergency plan, while seven PWD and 27 ACO respondents indicated they were unsure whether they or the person they were answering for had an emergency plan. Additional </w:t>
      </w:r>
      <w:r w:rsidR="00A00967">
        <w:t xml:space="preserve">survey items </w:t>
      </w:r>
      <w:r w:rsidR="00CD2B3F">
        <w:t xml:space="preserve">regarding personal emergency plans </w:t>
      </w:r>
      <w:r w:rsidR="00A00967">
        <w:t>were directed to th</w:t>
      </w:r>
      <w:r w:rsidR="00CD2B3F">
        <w:t>e</w:t>
      </w:r>
      <w:r w:rsidR="00A00967">
        <w:t xml:space="preserve">se </w:t>
      </w:r>
      <w:r w:rsidR="00CD2B3F">
        <w:t>respondents.</w:t>
      </w:r>
    </w:p>
    <w:p w14:paraId="0BC77301" w14:textId="0998CF89" w:rsidR="00CA76CD" w:rsidRDefault="00A00967" w:rsidP="00A00967">
      <w:r>
        <w:t xml:space="preserve">The first </w:t>
      </w:r>
      <w:r w:rsidR="00980251">
        <w:t>question related to</w:t>
      </w:r>
      <w:r w:rsidR="0018243D">
        <w:t xml:space="preserve"> personal</w:t>
      </w:r>
      <w:r w:rsidR="00980251">
        <w:t xml:space="preserve"> </w:t>
      </w:r>
      <w:r>
        <w:t>emergency plan</w:t>
      </w:r>
      <w:r w:rsidR="00980251">
        <w:t>s</w:t>
      </w:r>
      <w:r>
        <w:t xml:space="preserve"> asked respondents to indicate </w:t>
      </w:r>
      <w:r w:rsidR="00980251">
        <w:t xml:space="preserve">the </w:t>
      </w:r>
      <w:r>
        <w:t>components included in their plan. Response choices</w:t>
      </w:r>
      <w:r w:rsidR="00980251">
        <w:t xml:space="preserve"> were consistent with the Federal Emergency Management Agency’s (FEMA) outline for emergency plan considerations (FEMA, 2016)</w:t>
      </w:r>
      <w:r>
        <w:t xml:space="preserve"> </w:t>
      </w:r>
      <w:r w:rsidR="00980251">
        <w:t xml:space="preserve">and </w:t>
      </w:r>
      <w:r>
        <w:t>included, “</w:t>
      </w:r>
      <w:r w:rsidR="00087836">
        <w:t>w</w:t>
      </w:r>
      <w:r>
        <w:t>hat to do if you lose power for two or more hours,” “</w:t>
      </w:r>
      <w:r w:rsidR="00087836">
        <w:t>w</w:t>
      </w:r>
      <w:r>
        <w:t>hat to do if you lose heating or air conditioning for two or more hours,” “</w:t>
      </w:r>
      <w:r w:rsidR="00087836">
        <w:t>w</w:t>
      </w:r>
      <w:r>
        <w:t>ays to quickly get out of your home,” “</w:t>
      </w:r>
      <w:r w:rsidR="00087836">
        <w:t xml:space="preserve">an </w:t>
      </w:r>
      <w:r>
        <w:t>out-of-town contact(s),” “</w:t>
      </w:r>
      <w:r w:rsidR="00087836">
        <w:t>a</w:t>
      </w:r>
      <w:r>
        <w:t xml:space="preserve"> supply kit that has enough food, water, and other supplies to last for at least three days on your own,” “</w:t>
      </w:r>
      <w:r w:rsidR="00087836">
        <w:t>a</w:t>
      </w:r>
      <w:r>
        <w:t xml:space="preserve"> portable bag that contains the gear and supplies you would need if told to quickly leave your home,” “</w:t>
      </w:r>
      <w:r w:rsidR="00087836">
        <w:t>a</w:t>
      </w:r>
      <w:r>
        <w:t xml:space="preserve"> card describing any difficulties with communication,” “</w:t>
      </w:r>
      <w:r w:rsidR="00087836">
        <w:t>a</w:t>
      </w:r>
      <w:r>
        <w:t xml:space="preserve"> medical information card,” “</w:t>
      </w:r>
      <w:r w:rsidR="00087836">
        <w:t>n</w:t>
      </w:r>
      <w:r>
        <w:t>one of the above,” and “</w:t>
      </w:r>
      <w:r w:rsidR="00087836">
        <w:t>o</w:t>
      </w:r>
      <w:r>
        <w:t xml:space="preserve">ther.” The </w:t>
      </w:r>
      <w:r w:rsidR="00EA73FC">
        <w:t>percentages</w:t>
      </w:r>
      <w:r>
        <w:t xml:space="preserve"> of respondents’ an</w:t>
      </w:r>
      <w:r w:rsidR="001C2810">
        <w:t>swers are displayed in Table 4</w:t>
      </w:r>
      <w:r>
        <w:t xml:space="preserve"> below.</w:t>
      </w:r>
    </w:p>
    <w:p w14:paraId="364D3EF2" w14:textId="7F0C02D8" w:rsidR="00EA73FC" w:rsidRDefault="00EA73FC" w:rsidP="00EA73FC">
      <w:pPr>
        <w:pStyle w:val="Caption"/>
        <w:keepNext/>
        <w:jc w:val="center"/>
      </w:pPr>
      <w:r>
        <w:t xml:space="preserve">Table </w:t>
      </w:r>
      <w:r w:rsidR="006C604C">
        <w:fldChar w:fldCharType="begin"/>
      </w:r>
      <w:r w:rsidR="006C604C">
        <w:instrText xml:space="preserve"> SEQ Table \* ARABIC </w:instrText>
      </w:r>
      <w:r w:rsidR="006C604C">
        <w:fldChar w:fldCharType="separate"/>
      </w:r>
      <w:r w:rsidR="00CD2B3F">
        <w:rPr>
          <w:noProof/>
        </w:rPr>
        <w:t>4</w:t>
      </w:r>
      <w:r w:rsidR="006C604C">
        <w:rPr>
          <w:noProof/>
        </w:rPr>
        <w:fldChar w:fldCharType="end"/>
      </w:r>
      <w:r w:rsidR="00F02AC7">
        <w:t>.</w:t>
      </w:r>
      <w:r>
        <w:t xml:space="preserve"> </w:t>
      </w:r>
      <w:r w:rsidRPr="00F02AC7">
        <w:rPr>
          <w:i w:val="0"/>
        </w:rPr>
        <w:t>Components of Respondents’ Personal Emergency Plan</w:t>
      </w:r>
    </w:p>
    <w:tbl>
      <w:tblPr>
        <w:tblStyle w:val="TableGrid"/>
        <w:tblpPr w:leftFromText="187" w:rightFromText="187" w:bottomFromText="288" w:vertAnchor="text" w:tblpXSpec="center" w:tblpY="1"/>
        <w:tblOverlap w:val="never"/>
        <w:tblW w:w="0" w:type="auto"/>
        <w:tblLook w:val="04A0" w:firstRow="1" w:lastRow="0" w:firstColumn="1" w:lastColumn="0" w:noHBand="0" w:noVBand="1"/>
        <w:tblCaption w:val="Table 4: Components of Respondents’ Personal Emergency Plan"/>
        <w:tblDescription w:val="The table displays percentages of PWD (N = 35) and ACO (N = 56) respondents in separate columns who reported on whether or not their (or the person they were answering for) personal emergency plan included various components from a number of options described in each row."/>
      </w:tblPr>
      <w:tblGrid>
        <w:gridCol w:w="6025"/>
        <w:gridCol w:w="1710"/>
        <w:gridCol w:w="1615"/>
      </w:tblGrid>
      <w:tr w:rsidR="001C2810" w14:paraId="47F9B9B3" w14:textId="77777777" w:rsidTr="00A33F93">
        <w:trPr>
          <w:tblHeader/>
        </w:trPr>
        <w:tc>
          <w:tcPr>
            <w:tcW w:w="6025" w:type="dxa"/>
            <w:shd w:val="clear" w:color="auto" w:fill="000000" w:themeFill="text1"/>
            <w:vAlign w:val="center"/>
          </w:tcPr>
          <w:p w14:paraId="58A4A40C" w14:textId="01CEDCB6" w:rsidR="001C2810" w:rsidRPr="00EA73FC" w:rsidRDefault="001C2810" w:rsidP="003775E2">
            <w:pPr>
              <w:jc w:val="center"/>
              <w:rPr>
                <w:b/>
              </w:rPr>
            </w:pPr>
            <w:r w:rsidRPr="00EA73FC">
              <w:rPr>
                <w:b/>
              </w:rPr>
              <w:t>Emergency Plan Components</w:t>
            </w:r>
          </w:p>
        </w:tc>
        <w:tc>
          <w:tcPr>
            <w:tcW w:w="1710" w:type="dxa"/>
            <w:shd w:val="clear" w:color="auto" w:fill="000000" w:themeFill="text1"/>
            <w:vAlign w:val="center"/>
          </w:tcPr>
          <w:p w14:paraId="3F363A59" w14:textId="3ADC691F" w:rsidR="001C2810" w:rsidRPr="00EA73FC" w:rsidRDefault="001C2810" w:rsidP="003775E2">
            <w:pPr>
              <w:jc w:val="center"/>
              <w:rPr>
                <w:b/>
              </w:rPr>
            </w:pPr>
            <w:r w:rsidRPr="00EA73FC">
              <w:rPr>
                <w:b/>
              </w:rPr>
              <w:t>PWD</w:t>
            </w:r>
            <w:r w:rsidR="006A0EB9">
              <w:rPr>
                <w:b/>
              </w:rPr>
              <w:t xml:space="preserve"> (N = 35)</w:t>
            </w:r>
            <w:r w:rsidRPr="00EA73FC">
              <w:rPr>
                <w:b/>
              </w:rPr>
              <w:t xml:space="preserve"> Percentage</w:t>
            </w:r>
          </w:p>
        </w:tc>
        <w:tc>
          <w:tcPr>
            <w:tcW w:w="1615" w:type="dxa"/>
            <w:shd w:val="clear" w:color="auto" w:fill="000000" w:themeFill="text1"/>
            <w:vAlign w:val="center"/>
          </w:tcPr>
          <w:p w14:paraId="1E6947F1" w14:textId="5FC512A4" w:rsidR="001C2810" w:rsidRPr="00EA73FC" w:rsidRDefault="001C2810" w:rsidP="003775E2">
            <w:pPr>
              <w:jc w:val="center"/>
              <w:rPr>
                <w:b/>
              </w:rPr>
            </w:pPr>
            <w:r w:rsidRPr="00EA73FC">
              <w:rPr>
                <w:b/>
              </w:rPr>
              <w:t xml:space="preserve">ACO </w:t>
            </w:r>
            <w:r w:rsidR="006A0EB9">
              <w:rPr>
                <w:b/>
              </w:rPr>
              <w:t xml:space="preserve">(N = 56) </w:t>
            </w:r>
            <w:r w:rsidRPr="00EA73FC">
              <w:rPr>
                <w:b/>
              </w:rPr>
              <w:t>Percentage</w:t>
            </w:r>
          </w:p>
        </w:tc>
      </w:tr>
      <w:tr w:rsidR="001C2810" w14:paraId="3E10A789" w14:textId="77777777" w:rsidTr="00A33F93">
        <w:tc>
          <w:tcPr>
            <w:tcW w:w="6025" w:type="dxa"/>
          </w:tcPr>
          <w:p w14:paraId="5255D700" w14:textId="3B85B3A9" w:rsidR="001C2810" w:rsidRDefault="001C2810" w:rsidP="003775E2">
            <w:r w:rsidRPr="001C2810">
              <w:t>What to do if you lose power for two or more hours</w:t>
            </w:r>
          </w:p>
        </w:tc>
        <w:tc>
          <w:tcPr>
            <w:tcW w:w="1710" w:type="dxa"/>
            <w:vAlign w:val="center"/>
          </w:tcPr>
          <w:p w14:paraId="42260613" w14:textId="683AB7EB" w:rsidR="001C2810" w:rsidRDefault="00EA73FC" w:rsidP="003775E2">
            <w:pPr>
              <w:jc w:val="center"/>
            </w:pPr>
            <w:r>
              <w:t>79%</w:t>
            </w:r>
          </w:p>
        </w:tc>
        <w:tc>
          <w:tcPr>
            <w:tcW w:w="1615" w:type="dxa"/>
            <w:vAlign w:val="center"/>
          </w:tcPr>
          <w:p w14:paraId="47C3D008" w14:textId="031AC114" w:rsidR="001C2810" w:rsidRDefault="00EA73FC" w:rsidP="003775E2">
            <w:pPr>
              <w:jc w:val="center"/>
            </w:pPr>
            <w:r>
              <w:t>60%</w:t>
            </w:r>
          </w:p>
        </w:tc>
      </w:tr>
      <w:tr w:rsidR="001C2810" w14:paraId="14CE44C5" w14:textId="77777777" w:rsidTr="00A33F93">
        <w:tc>
          <w:tcPr>
            <w:tcW w:w="6025" w:type="dxa"/>
          </w:tcPr>
          <w:p w14:paraId="1FF80A70" w14:textId="31966FCE" w:rsidR="001C2810" w:rsidRDefault="001C2810" w:rsidP="003775E2">
            <w:r w:rsidRPr="001C2810">
              <w:t>What to do if you lose heating or air conditioning for two or more hours</w:t>
            </w:r>
          </w:p>
        </w:tc>
        <w:tc>
          <w:tcPr>
            <w:tcW w:w="1710" w:type="dxa"/>
            <w:vAlign w:val="center"/>
          </w:tcPr>
          <w:p w14:paraId="09B53219" w14:textId="2FAE9235" w:rsidR="001C2810" w:rsidRDefault="00EA73FC" w:rsidP="003775E2">
            <w:pPr>
              <w:jc w:val="center"/>
            </w:pPr>
            <w:r>
              <w:t>63%</w:t>
            </w:r>
          </w:p>
        </w:tc>
        <w:tc>
          <w:tcPr>
            <w:tcW w:w="1615" w:type="dxa"/>
            <w:vAlign w:val="center"/>
          </w:tcPr>
          <w:p w14:paraId="074FA088" w14:textId="346DDF7A" w:rsidR="001C2810" w:rsidRDefault="00EA73FC" w:rsidP="003775E2">
            <w:pPr>
              <w:jc w:val="center"/>
            </w:pPr>
            <w:r>
              <w:t>55%</w:t>
            </w:r>
          </w:p>
        </w:tc>
      </w:tr>
      <w:tr w:rsidR="001C2810" w14:paraId="4E66C36F" w14:textId="77777777" w:rsidTr="00A33F93">
        <w:tc>
          <w:tcPr>
            <w:tcW w:w="6025" w:type="dxa"/>
          </w:tcPr>
          <w:p w14:paraId="4830F85B" w14:textId="5B15C6CD" w:rsidR="001C2810" w:rsidRDefault="001C2810" w:rsidP="003775E2">
            <w:r w:rsidRPr="001C2810">
              <w:t>Ways to quickly get out of your home</w:t>
            </w:r>
          </w:p>
        </w:tc>
        <w:tc>
          <w:tcPr>
            <w:tcW w:w="1710" w:type="dxa"/>
            <w:vAlign w:val="center"/>
          </w:tcPr>
          <w:p w14:paraId="19B49D24" w14:textId="572BBAF1" w:rsidR="001C2810" w:rsidRDefault="00EA73FC" w:rsidP="003775E2">
            <w:pPr>
              <w:jc w:val="center"/>
            </w:pPr>
            <w:r>
              <w:t>73%</w:t>
            </w:r>
          </w:p>
        </w:tc>
        <w:tc>
          <w:tcPr>
            <w:tcW w:w="1615" w:type="dxa"/>
            <w:vAlign w:val="center"/>
          </w:tcPr>
          <w:p w14:paraId="40FD3F00" w14:textId="76232289" w:rsidR="001C2810" w:rsidRDefault="00EA73FC" w:rsidP="003775E2">
            <w:pPr>
              <w:jc w:val="center"/>
            </w:pPr>
            <w:r>
              <w:t>80%</w:t>
            </w:r>
          </w:p>
        </w:tc>
      </w:tr>
      <w:tr w:rsidR="001C2810" w14:paraId="6DD903B2" w14:textId="77777777" w:rsidTr="00A33F93">
        <w:tc>
          <w:tcPr>
            <w:tcW w:w="6025" w:type="dxa"/>
          </w:tcPr>
          <w:p w14:paraId="57644A65" w14:textId="24610369" w:rsidR="001C2810" w:rsidRDefault="001C2810" w:rsidP="003775E2">
            <w:r w:rsidRPr="001C2810">
              <w:t>An out-of-town contact(s)</w:t>
            </w:r>
          </w:p>
        </w:tc>
        <w:tc>
          <w:tcPr>
            <w:tcW w:w="1710" w:type="dxa"/>
            <w:vAlign w:val="center"/>
          </w:tcPr>
          <w:p w14:paraId="3D86F310" w14:textId="43AF9887" w:rsidR="001C2810" w:rsidRDefault="00EA73FC" w:rsidP="003775E2">
            <w:pPr>
              <w:jc w:val="center"/>
            </w:pPr>
            <w:r>
              <w:t>52%</w:t>
            </w:r>
          </w:p>
        </w:tc>
        <w:tc>
          <w:tcPr>
            <w:tcW w:w="1615" w:type="dxa"/>
            <w:vAlign w:val="center"/>
          </w:tcPr>
          <w:p w14:paraId="7D2775A4" w14:textId="3CF0E319" w:rsidR="001C2810" w:rsidRDefault="00EA73FC" w:rsidP="003775E2">
            <w:pPr>
              <w:jc w:val="center"/>
            </w:pPr>
            <w:r>
              <w:t>28%</w:t>
            </w:r>
          </w:p>
        </w:tc>
      </w:tr>
      <w:tr w:rsidR="001C2810" w14:paraId="6D3DA7F0" w14:textId="77777777" w:rsidTr="00A33F93">
        <w:tc>
          <w:tcPr>
            <w:tcW w:w="6025" w:type="dxa"/>
          </w:tcPr>
          <w:p w14:paraId="396FABE4" w14:textId="45AC5006" w:rsidR="001C2810" w:rsidRDefault="001C2810" w:rsidP="003775E2">
            <w:r w:rsidRPr="001C2810">
              <w:t>A supply kit that has enough food, water, and other supplies to last for at least three days on your own</w:t>
            </w:r>
          </w:p>
        </w:tc>
        <w:tc>
          <w:tcPr>
            <w:tcW w:w="1710" w:type="dxa"/>
            <w:vAlign w:val="center"/>
          </w:tcPr>
          <w:p w14:paraId="0C2216C8" w14:textId="427B38E0" w:rsidR="001C2810" w:rsidRDefault="00EA73FC" w:rsidP="003775E2">
            <w:pPr>
              <w:jc w:val="center"/>
            </w:pPr>
            <w:r>
              <w:t>52%</w:t>
            </w:r>
          </w:p>
        </w:tc>
        <w:tc>
          <w:tcPr>
            <w:tcW w:w="1615" w:type="dxa"/>
            <w:vAlign w:val="center"/>
          </w:tcPr>
          <w:p w14:paraId="12D0BF0A" w14:textId="0044FD58" w:rsidR="001C2810" w:rsidRDefault="00EA73FC" w:rsidP="003775E2">
            <w:pPr>
              <w:jc w:val="center"/>
            </w:pPr>
            <w:r>
              <w:t>35%</w:t>
            </w:r>
          </w:p>
        </w:tc>
      </w:tr>
      <w:tr w:rsidR="001C2810" w14:paraId="320C3940" w14:textId="77777777" w:rsidTr="00A33F93">
        <w:tc>
          <w:tcPr>
            <w:tcW w:w="6025" w:type="dxa"/>
          </w:tcPr>
          <w:p w14:paraId="7160A310" w14:textId="14137F62" w:rsidR="001C2810" w:rsidRDefault="001C2810" w:rsidP="003775E2">
            <w:r w:rsidRPr="001C2810">
              <w:t>A portable bag that contains the gear and supplies you would need if told to quickly leave your home</w:t>
            </w:r>
          </w:p>
        </w:tc>
        <w:tc>
          <w:tcPr>
            <w:tcW w:w="1710" w:type="dxa"/>
            <w:vAlign w:val="center"/>
          </w:tcPr>
          <w:p w14:paraId="235C86D7" w14:textId="0C41CE4F" w:rsidR="001C2810" w:rsidRDefault="00EA73FC" w:rsidP="003775E2">
            <w:pPr>
              <w:jc w:val="center"/>
            </w:pPr>
            <w:r>
              <w:t>48%</w:t>
            </w:r>
          </w:p>
        </w:tc>
        <w:tc>
          <w:tcPr>
            <w:tcW w:w="1615" w:type="dxa"/>
            <w:vAlign w:val="center"/>
          </w:tcPr>
          <w:p w14:paraId="2FAD9A7B" w14:textId="71B7C27A" w:rsidR="001C2810" w:rsidRDefault="00EA73FC" w:rsidP="003775E2">
            <w:pPr>
              <w:jc w:val="center"/>
            </w:pPr>
            <w:r>
              <w:t>20%</w:t>
            </w:r>
          </w:p>
        </w:tc>
      </w:tr>
      <w:tr w:rsidR="001C2810" w14:paraId="1AEDB2D3" w14:textId="77777777" w:rsidTr="00A33F93">
        <w:tc>
          <w:tcPr>
            <w:tcW w:w="6025" w:type="dxa"/>
          </w:tcPr>
          <w:p w14:paraId="19FD1A8D" w14:textId="41A19C60" w:rsidR="001C2810" w:rsidRDefault="001C2810" w:rsidP="003775E2">
            <w:r w:rsidRPr="001C2810">
              <w:t>A card describing any difficulties with communication</w:t>
            </w:r>
          </w:p>
        </w:tc>
        <w:tc>
          <w:tcPr>
            <w:tcW w:w="1710" w:type="dxa"/>
            <w:vAlign w:val="center"/>
          </w:tcPr>
          <w:p w14:paraId="1DF065F2" w14:textId="53945383" w:rsidR="001C2810" w:rsidRDefault="00EA73FC" w:rsidP="003775E2">
            <w:pPr>
              <w:jc w:val="center"/>
            </w:pPr>
            <w:r>
              <w:t>6%</w:t>
            </w:r>
          </w:p>
        </w:tc>
        <w:tc>
          <w:tcPr>
            <w:tcW w:w="1615" w:type="dxa"/>
            <w:vAlign w:val="center"/>
          </w:tcPr>
          <w:p w14:paraId="2A83BCC6" w14:textId="31ACB44A" w:rsidR="001C2810" w:rsidRDefault="00EA73FC" w:rsidP="003775E2">
            <w:pPr>
              <w:jc w:val="center"/>
            </w:pPr>
            <w:r>
              <w:t>13%</w:t>
            </w:r>
          </w:p>
        </w:tc>
      </w:tr>
      <w:tr w:rsidR="001C2810" w14:paraId="42ED169E" w14:textId="77777777" w:rsidTr="00A33F93">
        <w:tc>
          <w:tcPr>
            <w:tcW w:w="6025" w:type="dxa"/>
          </w:tcPr>
          <w:p w14:paraId="34486B86" w14:textId="7F30DA19" w:rsidR="001C2810" w:rsidRPr="001C2810" w:rsidRDefault="001C2810" w:rsidP="003775E2">
            <w:r w:rsidRPr="001C2810">
              <w:t>A medical information card</w:t>
            </w:r>
          </w:p>
        </w:tc>
        <w:tc>
          <w:tcPr>
            <w:tcW w:w="1710" w:type="dxa"/>
            <w:vAlign w:val="center"/>
          </w:tcPr>
          <w:p w14:paraId="5951D636" w14:textId="7C54A5DF" w:rsidR="001C2810" w:rsidRDefault="00EA73FC" w:rsidP="003775E2">
            <w:pPr>
              <w:jc w:val="center"/>
            </w:pPr>
            <w:r>
              <w:t>42%</w:t>
            </w:r>
          </w:p>
        </w:tc>
        <w:tc>
          <w:tcPr>
            <w:tcW w:w="1615" w:type="dxa"/>
            <w:vAlign w:val="center"/>
          </w:tcPr>
          <w:p w14:paraId="3393A9FD" w14:textId="498D4762" w:rsidR="001C2810" w:rsidRDefault="00EA73FC" w:rsidP="003775E2">
            <w:pPr>
              <w:jc w:val="center"/>
            </w:pPr>
            <w:r>
              <w:t>58%</w:t>
            </w:r>
          </w:p>
        </w:tc>
      </w:tr>
      <w:tr w:rsidR="001C2810" w14:paraId="32264DD7" w14:textId="77777777" w:rsidTr="00A33F93">
        <w:tc>
          <w:tcPr>
            <w:tcW w:w="6025" w:type="dxa"/>
          </w:tcPr>
          <w:p w14:paraId="634C3C26" w14:textId="13167B2D" w:rsidR="001C2810" w:rsidRPr="001C2810" w:rsidRDefault="001C2810" w:rsidP="003775E2">
            <w:r w:rsidRPr="001C2810">
              <w:t>None of the above</w:t>
            </w:r>
          </w:p>
        </w:tc>
        <w:tc>
          <w:tcPr>
            <w:tcW w:w="1710" w:type="dxa"/>
            <w:vAlign w:val="center"/>
          </w:tcPr>
          <w:p w14:paraId="7EAC6F64" w14:textId="566C61AF" w:rsidR="001C2810" w:rsidRDefault="00EA73FC" w:rsidP="003775E2">
            <w:pPr>
              <w:jc w:val="center"/>
            </w:pPr>
            <w:r>
              <w:t>9%</w:t>
            </w:r>
          </w:p>
        </w:tc>
        <w:tc>
          <w:tcPr>
            <w:tcW w:w="1615" w:type="dxa"/>
            <w:vAlign w:val="center"/>
          </w:tcPr>
          <w:p w14:paraId="383A5D9E" w14:textId="4BF865E6" w:rsidR="001C2810" w:rsidRDefault="00EA73FC" w:rsidP="003775E2">
            <w:pPr>
              <w:jc w:val="center"/>
            </w:pPr>
            <w:r>
              <w:t>0%</w:t>
            </w:r>
          </w:p>
        </w:tc>
      </w:tr>
      <w:tr w:rsidR="001C2810" w14:paraId="3FE6261F" w14:textId="77777777" w:rsidTr="00A33F93">
        <w:tc>
          <w:tcPr>
            <w:tcW w:w="6025" w:type="dxa"/>
          </w:tcPr>
          <w:p w14:paraId="05E986B3" w14:textId="12725E93" w:rsidR="001C2810" w:rsidRPr="001C2810" w:rsidRDefault="001C2810" w:rsidP="003775E2">
            <w:r>
              <w:t>Other (Please specify</w:t>
            </w:r>
            <w:r w:rsidRPr="001C2810">
              <w:t>)</w:t>
            </w:r>
          </w:p>
        </w:tc>
        <w:tc>
          <w:tcPr>
            <w:tcW w:w="1710" w:type="dxa"/>
            <w:vAlign w:val="center"/>
          </w:tcPr>
          <w:p w14:paraId="6AE124C4" w14:textId="16EC5237" w:rsidR="001C2810" w:rsidRDefault="00EA73FC" w:rsidP="003775E2">
            <w:pPr>
              <w:jc w:val="center"/>
            </w:pPr>
            <w:r>
              <w:t>12%</w:t>
            </w:r>
          </w:p>
        </w:tc>
        <w:tc>
          <w:tcPr>
            <w:tcW w:w="1615" w:type="dxa"/>
            <w:vAlign w:val="center"/>
          </w:tcPr>
          <w:p w14:paraId="5A4C65B1" w14:textId="136A0698" w:rsidR="001C2810" w:rsidRDefault="00EA73FC" w:rsidP="003775E2">
            <w:pPr>
              <w:jc w:val="center"/>
            </w:pPr>
            <w:r>
              <w:t>0%</w:t>
            </w:r>
          </w:p>
        </w:tc>
      </w:tr>
    </w:tbl>
    <w:p w14:paraId="61FFE2D5" w14:textId="2B478762" w:rsidR="00AC07DD" w:rsidRDefault="00EA73FC" w:rsidP="00A00967">
      <w:r>
        <w:t xml:space="preserve">The last question on the survey asked </w:t>
      </w:r>
      <w:r w:rsidR="00AA1EA1">
        <w:t xml:space="preserve">those </w:t>
      </w:r>
      <w:r>
        <w:t>respondents</w:t>
      </w:r>
      <w:r w:rsidR="00AA1EA1">
        <w:t xml:space="preserve"> with emergency plans</w:t>
      </w:r>
      <w:r>
        <w:t xml:space="preserve"> to indicate whether they or the person </w:t>
      </w:r>
      <w:r w:rsidR="00570DD8">
        <w:t xml:space="preserve">for whom </w:t>
      </w:r>
      <w:r>
        <w:t>they were answering had a medical</w:t>
      </w:r>
      <w:r w:rsidR="00E35AE5">
        <w:t xml:space="preserve"> information</w:t>
      </w:r>
      <w:r>
        <w:t xml:space="preserve"> or communication card</w:t>
      </w:r>
      <w:r w:rsidR="00911282">
        <w:t>,</w:t>
      </w:r>
      <w:r>
        <w:t xml:space="preserve"> and polled respondents on whether the medical</w:t>
      </w:r>
      <w:r w:rsidR="00E35AE5">
        <w:t xml:space="preserve"> information</w:t>
      </w:r>
      <w:r>
        <w:t xml:space="preserve"> or communication card contained any of the following information: “</w:t>
      </w:r>
      <w:r w:rsidR="00087836">
        <w:t>c</w:t>
      </w:r>
      <w:r>
        <w:t>ontact information for family members, members of your support network, caregivers, work and school,” “</w:t>
      </w:r>
      <w:r w:rsidR="00087836">
        <w:t>o</w:t>
      </w:r>
      <w:r>
        <w:t>ut-of-town contact information,” “</w:t>
      </w:r>
      <w:r w:rsidR="00087836">
        <w:t>m</w:t>
      </w:r>
      <w:r>
        <w:t>eeting locations,” “</w:t>
      </w:r>
      <w:r w:rsidR="00087836">
        <w:t>e</w:t>
      </w:r>
      <w:r>
        <w:t>mergency service contact information (police and fire department phone numbers, shelter locations, etc.,” “</w:t>
      </w:r>
      <w:r w:rsidR="00087836">
        <w:t>m</w:t>
      </w:r>
      <w:r>
        <w:t>edical providers,” “</w:t>
      </w:r>
      <w:r w:rsidR="00087836">
        <w:t>e</w:t>
      </w:r>
      <w:r>
        <w:t>quipment you use,” “</w:t>
      </w:r>
      <w:r w:rsidR="00087836">
        <w:t>a</w:t>
      </w:r>
      <w:r>
        <w:t>llergies and sensitivities,” “</w:t>
      </w:r>
      <w:r w:rsidR="00087836">
        <w:t>s</w:t>
      </w:r>
      <w:r>
        <w:t>pecial medications and instructions,” “</w:t>
      </w:r>
      <w:r w:rsidR="00087836">
        <w:t>p</w:t>
      </w:r>
      <w:r>
        <w:t>roblems you have speaking, understanding, or remembering,” and “</w:t>
      </w:r>
      <w:r w:rsidR="00087836">
        <w:t>o</w:t>
      </w:r>
      <w:r>
        <w:t>ther.”</w:t>
      </w:r>
      <w:r w:rsidR="00F322D2">
        <w:t xml:space="preserve"> Response choices were</w:t>
      </w:r>
      <w:r w:rsidR="00980251">
        <w:t xml:space="preserve"> again</w:t>
      </w:r>
      <w:r w:rsidR="00F322D2">
        <w:t xml:space="preserve"> based on FEMA</w:t>
      </w:r>
      <w:r w:rsidR="00980251">
        <w:t>’s</w:t>
      </w:r>
      <w:r w:rsidR="00F322D2">
        <w:t xml:space="preserve"> guidelines for information to include on medical or communication cards specific to people with </w:t>
      </w:r>
      <w:r w:rsidR="00D76A9E">
        <w:t xml:space="preserve">disabilities or other </w:t>
      </w:r>
      <w:r w:rsidR="00F322D2">
        <w:t>access and functional needs (FEMA, 2016)</w:t>
      </w:r>
      <w:r>
        <w:t>. The distribution of various information contained on medical and communication cards across respo</w:t>
      </w:r>
      <w:r w:rsidR="001C01DB">
        <w:t>ndents</w:t>
      </w:r>
      <w:r w:rsidR="00E35AE5">
        <w:t xml:space="preserve"> who indicated having a medical information or communication card</w:t>
      </w:r>
      <w:r w:rsidR="001C01DB">
        <w:t xml:space="preserve"> is displayed in Figure 17</w:t>
      </w:r>
      <w:r w:rsidR="00AC07DD">
        <w:t xml:space="preserve"> (</w:t>
      </w:r>
      <w:r w:rsidR="00A175D7">
        <w:t>responses indicating</w:t>
      </w:r>
      <w:r w:rsidR="00AC07DD">
        <w:t xml:space="preserve"> </w:t>
      </w:r>
      <w:r w:rsidR="00A175D7">
        <w:t>lack of</w:t>
      </w:r>
      <w:r w:rsidR="00AC07DD">
        <w:t xml:space="preserve"> a medical information or communication card were removed from analyses)</w:t>
      </w:r>
      <w:r>
        <w:t>. Written responses in the “</w:t>
      </w:r>
      <w:r w:rsidR="00087836">
        <w:t>o</w:t>
      </w:r>
      <w:r>
        <w:t>ther” category for both PWD and ACO respondents could generally be classified into one of the response choices.</w:t>
      </w:r>
    </w:p>
    <w:p w14:paraId="4B64523B" w14:textId="73F20886" w:rsidR="001C2810" w:rsidRDefault="00A33F93" w:rsidP="00A00967">
      <w:r>
        <w:t>Results</w:t>
      </w:r>
      <w:r w:rsidR="00A14221">
        <w:t xml:space="preserve"> from </w:t>
      </w:r>
      <w:r w:rsidR="00E35AE5">
        <w:t>questions about personal emergency p</w:t>
      </w:r>
      <w:r w:rsidR="00F306DC">
        <w:t xml:space="preserve">lans and information on medical or </w:t>
      </w:r>
      <w:r w:rsidR="00E35AE5">
        <w:t>communication cards</w:t>
      </w:r>
      <w:r w:rsidR="00A14221">
        <w:t xml:space="preserve"> </w:t>
      </w:r>
      <w:r>
        <w:t>highlight the</w:t>
      </w:r>
      <w:r w:rsidR="00A14221">
        <w:t xml:space="preserve"> low number of respondents </w:t>
      </w:r>
      <w:r w:rsidR="00AC07DD">
        <w:t>who indicated that</w:t>
      </w:r>
      <w:r w:rsidR="00A14221">
        <w:t xml:space="preserve"> they</w:t>
      </w:r>
      <w:r w:rsidR="00B77079">
        <w:t xml:space="preserve"> or the person for whom they were answering </w:t>
      </w:r>
      <w:r w:rsidR="00A14221">
        <w:t>had</w:t>
      </w:r>
      <w:r w:rsidR="00C43D31">
        <w:t xml:space="preserve"> (or were unsure if they had)</w:t>
      </w:r>
      <w:r w:rsidR="00A14221">
        <w:t xml:space="preserve"> a</w:t>
      </w:r>
      <w:r w:rsidR="008005AB">
        <w:t xml:space="preserve"> personal emergency plan</w:t>
      </w:r>
      <w:r w:rsidR="00E35AE5">
        <w:t xml:space="preserve"> (45% of PWD respondents and 37% of</w:t>
      </w:r>
      <w:r>
        <w:t xml:space="preserve"> ACO</w:t>
      </w:r>
      <w:r w:rsidR="00C43D31">
        <w:t xml:space="preserve"> respondents). Additionally,</w:t>
      </w:r>
      <w:r>
        <w:t xml:space="preserve"> of th</w:t>
      </w:r>
      <w:r w:rsidR="00E35AE5">
        <w:t>is subset of respondents only 48</w:t>
      </w:r>
      <w:r>
        <w:t>% of PWDs</w:t>
      </w:r>
      <w:r w:rsidR="00E35AE5">
        <w:t xml:space="preserve"> (N = 17)</w:t>
      </w:r>
      <w:r>
        <w:t xml:space="preserve"> and </w:t>
      </w:r>
      <w:r w:rsidR="00E35AE5">
        <w:t>50</w:t>
      </w:r>
      <w:r>
        <w:t>% of ACOs</w:t>
      </w:r>
      <w:r w:rsidR="00E35AE5">
        <w:t xml:space="preserve"> (N =28)</w:t>
      </w:r>
      <w:r>
        <w:t xml:space="preserve"> indicated that their personal emergency plan contained a</w:t>
      </w:r>
      <w:r w:rsidR="00A14221">
        <w:t xml:space="preserve"> medical </w:t>
      </w:r>
      <w:r w:rsidR="00980251">
        <w:t xml:space="preserve">information </w:t>
      </w:r>
      <w:r w:rsidR="00A14221">
        <w:t>or communication card</w:t>
      </w:r>
      <w:r w:rsidR="00792514">
        <w:t>.</w:t>
      </w:r>
      <w:r w:rsidR="00F306DC">
        <w:t xml:space="preserve"> The initial sample size at the beginning of the survey totaled 399 respondents (94 PWD respondents and 305 ACO respondents), </w:t>
      </w:r>
      <w:r w:rsidR="00AC07DD">
        <w:t xml:space="preserve">and in the end, only </w:t>
      </w:r>
      <w:r w:rsidR="00F306DC">
        <w:t xml:space="preserve">18% </w:t>
      </w:r>
      <w:r w:rsidR="00AC07DD">
        <w:t>of PWD and 10% of ACO</w:t>
      </w:r>
      <w:r w:rsidR="00F306DC">
        <w:t xml:space="preserve"> </w:t>
      </w:r>
      <w:r w:rsidR="00AC07DD">
        <w:t xml:space="preserve">respondents </w:t>
      </w:r>
      <w:r w:rsidR="00251948">
        <w:t>reported having</w:t>
      </w:r>
      <w:r w:rsidR="00F306DC">
        <w:t xml:space="preserve"> a </w:t>
      </w:r>
      <w:r w:rsidR="00AC07DD">
        <w:t>medical information or communication</w:t>
      </w:r>
      <w:r w:rsidR="00F306DC">
        <w:t xml:space="preserve"> card</w:t>
      </w:r>
      <w:r w:rsidR="00AC07DD">
        <w:t xml:space="preserve"> as part of their personal emergency plan.</w:t>
      </w:r>
    </w:p>
    <w:p w14:paraId="2F203A0F" w14:textId="66AAE7AC" w:rsidR="00C40893" w:rsidRDefault="00E35AE5" w:rsidP="00805AB1">
      <w:pPr>
        <w:pStyle w:val="Caption"/>
        <w:keepNext/>
        <w:jc w:val="center"/>
      </w:pPr>
      <w:r>
        <w:rPr>
          <w:noProof/>
        </w:rPr>
        <w:drawing>
          <wp:inline distT="0" distB="0" distL="0" distR="0" wp14:anchorId="757A6BC5" wp14:editId="57224C1F">
            <wp:extent cx="5730316" cy="5816009"/>
            <wp:effectExtent l="0" t="0" r="3810" b="0"/>
            <wp:docPr id="7" name="Picture 7" descr="A multicolored vertical clustered bar graph displays percentages for PWD (N = 17) and ACO (N = 32) respondents who indicated whether their (or the person who they were answering for) medical information or communication card included various pieces of information. The percentages for PWD respondents are as follows: 47% &quot;Contact information for family members, members of your support network, caregivers, work and school;&quot; 12% &quot;Out-of-town contact information;&quot; 24% &quot;Meeting locations;&quot; 29% &quot;Emergency service contact information (police and fire department phone numbers, shelter locations, etc.);&quot; 77% &quot;Medical providers;&quot; 18% &quot;Equipment you use;&quot; 35% &quot;Allergies and sensitivities;&quot; 47% &quot;Special medications and instructions;&quot; 6% &quot;Problems you have speaking, understanding or remembering;&quot; 12% &quot;Other (please specify).&quot; The percentages for ACO respondents are as follows: 59% &quot;Contact information for family members, members of their support network, caregivers, work and school;&quot; 25% &quot;Out-of-town contact information;&quot; 9% &quot;Meeting locations;&quot; 31% &quot;Emergency service contact information (police and fire department phone numbers, shelter locations, etc.);&quot; 56% &quot;Medical providers;&quot; 28% &quot;Equipment they use;&quot; 44% &quot;Allergies and sensitivities;&quot; 63% &quot;Special medications and instructions;&quot; 19% &quot;Problems they have speaking, understanding or remembering;&quot; 16% &quot;Other (please specify).&quot;" title="Figure 17. Information on Medical or Communication Cards across Respo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6535" cy="5822321"/>
                    </a:xfrm>
                    <a:prstGeom prst="rect">
                      <a:avLst/>
                    </a:prstGeom>
                    <a:noFill/>
                  </pic:spPr>
                </pic:pic>
              </a:graphicData>
            </a:graphic>
          </wp:inline>
        </w:drawing>
      </w:r>
    </w:p>
    <w:p w14:paraId="090DA342" w14:textId="30513E9E" w:rsidR="00EB4FF8" w:rsidRPr="00C40893" w:rsidRDefault="00C40893" w:rsidP="00805AB1">
      <w:pPr>
        <w:pStyle w:val="Caption"/>
        <w:jc w:val="center"/>
        <w:rPr>
          <w:i w:val="0"/>
        </w:rPr>
      </w:pPr>
      <w:r>
        <w:t xml:space="preserve">Figure </w:t>
      </w:r>
      <w:r w:rsidR="006C604C">
        <w:fldChar w:fldCharType="begin"/>
      </w:r>
      <w:r w:rsidR="006C604C">
        <w:instrText xml:space="preserve"> SEQ Figure \* ARABIC </w:instrText>
      </w:r>
      <w:r w:rsidR="006C604C">
        <w:fldChar w:fldCharType="separate"/>
      </w:r>
      <w:r>
        <w:rPr>
          <w:noProof/>
        </w:rPr>
        <w:t>17</w:t>
      </w:r>
      <w:r w:rsidR="006C604C">
        <w:rPr>
          <w:noProof/>
        </w:rPr>
        <w:fldChar w:fldCharType="end"/>
      </w:r>
      <w:r>
        <w:t xml:space="preserve">. </w:t>
      </w:r>
      <w:r w:rsidRPr="00C40893">
        <w:rPr>
          <w:i w:val="0"/>
        </w:rPr>
        <w:t>Information on Medical or Communication Cards across Respondents</w:t>
      </w:r>
    </w:p>
    <w:p w14:paraId="1067351E" w14:textId="77777777" w:rsidR="00AC07DD" w:rsidRDefault="00AC07DD">
      <w:pPr>
        <w:rPr>
          <w:rFonts w:asciiTheme="majorHAnsi" w:eastAsiaTheme="majorEastAsia" w:hAnsiTheme="majorHAnsi" w:cstheme="majorBidi"/>
          <w:b/>
          <w:sz w:val="28"/>
          <w:szCs w:val="26"/>
        </w:rPr>
      </w:pPr>
      <w:r>
        <w:br w:type="page"/>
      </w:r>
    </w:p>
    <w:p w14:paraId="7CED0147" w14:textId="585A0463" w:rsidR="00923A15" w:rsidRDefault="00DF71C9" w:rsidP="00AA1EA1">
      <w:pPr>
        <w:pStyle w:val="Heading2"/>
      </w:pPr>
      <w:bookmarkStart w:id="7" w:name="_Toc461612408"/>
      <w:r>
        <w:t>Discussion</w:t>
      </w:r>
      <w:bookmarkEnd w:id="7"/>
    </w:p>
    <w:p w14:paraId="48443D35" w14:textId="58F88A69" w:rsidR="00923A15" w:rsidRPr="00095B88" w:rsidRDefault="00310356" w:rsidP="00923A15">
      <w:r>
        <w:t>In general, t</w:t>
      </w:r>
      <w:r w:rsidR="00923A15">
        <w:t xml:space="preserve">he broad definition of access and functional needs may have introduced some confusion for </w:t>
      </w:r>
      <w:r>
        <w:t xml:space="preserve">this sample of </w:t>
      </w:r>
      <w:r w:rsidR="00923A15">
        <w:t xml:space="preserve">respondents as many of the individuals who participated in the survey wrote in psychological or mental health disorders on the item that asked about what types of difficulties they or the person </w:t>
      </w:r>
      <w:r w:rsidR="00570DD8">
        <w:t xml:space="preserve">for whom </w:t>
      </w:r>
      <w:r w:rsidR="00923A15">
        <w:t>they were answering required help. A more standardized method of discussing the topic of access and functional needs as well as collecting and compiling this data may be helpful for future survey instruments.</w:t>
      </w:r>
      <w:r w:rsidR="00381DFA">
        <w:t xml:space="preserve"> Nonetheless, several findings emerged and implications </w:t>
      </w:r>
      <w:r w:rsidR="00570DD8">
        <w:t xml:space="preserve">and recommendations </w:t>
      </w:r>
      <w:r w:rsidR="00381DFA">
        <w:t>for emergency preparedness and management personnel as well as for future study are discussed below</w:t>
      </w:r>
      <w:r w:rsidR="00570DD8">
        <w:t>.</w:t>
      </w:r>
    </w:p>
    <w:p w14:paraId="792CA37E" w14:textId="2445B660" w:rsidR="00A11AAE" w:rsidRDefault="00381DFA" w:rsidP="003F428E">
      <w:pPr>
        <w:pStyle w:val="Heading3"/>
      </w:pPr>
      <w:bookmarkStart w:id="8" w:name="_Toc461612409"/>
      <w:r w:rsidRPr="00381DFA">
        <w:t>Finding 1</w:t>
      </w:r>
      <w:r w:rsidR="00D65E74">
        <w:t>: Limited notification of needs to local authorities</w:t>
      </w:r>
      <w:bookmarkEnd w:id="8"/>
    </w:p>
    <w:p w14:paraId="6F1CF2D2" w14:textId="51E2D4FB" w:rsidR="005030E2" w:rsidRDefault="00310356" w:rsidP="00381DFA">
      <w:r>
        <w:t xml:space="preserve">The vast majority of survey respondents, both </w:t>
      </w:r>
      <w:r w:rsidR="00381DFA">
        <w:t>people with disabilities (PWDs)</w:t>
      </w:r>
      <w:r>
        <w:t xml:space="preserve"> and</w:t>
      </w:r>
      <w:r w:rsidR="00381DFA">
        <w:t xml:space="preserve"> </w:t>
      </w:r>
      <w:r w:rsidR="00F47196">
        <w:t>a</w:t>
      </w:r>
      <w:r w:rsidR="00381DFA">
        <w:t>dvocates/</w:t>
      </w:r>
      <w:r w:rsidR="00F47196">
        <w:t>c</w:t>
      </w:r>
      <w:r w:rsidR="00381DFA">
        <w:t>aregivers/</w:t>
      </w:r>
      <w:r w:rsidR="00F47196">
        <w:t>o</w:t>
      </w:r>
      <w:r w:rsidR="00381DFA">
        <w:t>thers</w:t>
      </w:r>
      <w:r>
        <w:t xml:space="preserve"> </w:t>
      </w:r>
      <w:r w:rsidR="00381DFA">
        <w:t>(</w:t>
      </w:r>
      <w:r>
        <w:t>ACOs</w:t>
      </w:r>
      <w:r w:rsidR="00381DFA">
        <w:t>)</w:t>
      </w:r>
      <w:r>
        <w:t xml:space="preserve">, indicated that they or the person </w:t>
      </w:r>
      <w:r w:rsidR="00570DD8">
        <w:t xml:space="preserve">for whom </w:t>
      </w:r>
      <w:r>
        <w:t>they were answering had not contacted local fire/police departments or their local power company to let them know they ha</w:t>
      </w:r>
      <w:r w:rsidR="005030E2">
        <w:t>ve</w:t>
      </w:r>
      <w:r w:rsidR="00D76A9E">
        <w:t xml:space="preserve"> disabilities or other</w:t>
      </w:r>
      <w:r w:rsidR="005030E2">
        <w:t xml:space="preserve"> access and functional needs; thus, emergency management personnel are less likely to know who may require special consideration in emergency or disaster situations.</w:t>
      </w:r>
    </w:p>
    <w:p w14:paraId="59F37E2D" w14:textId="5C467FCD" w:rsidR="00A11AAE" w:rsidRDefault="005030E2" w:rsidP="00A11AAE">
      <w:pPr>
        <w:pStyle w:val="Heading4"/>
      </w:pPr>
      <w:r w:rsidRPr="00381DFA">
        <w:t>Recommendation</w:t>
      </w:r>
    </w:p>
    <w:p w14:paraId="055A7DB1" w14:textId="6822216B" w:rsidR="006D1DC9" w:rsidRDefault="00310356" w:rsidP="000A73D9">
      <w:pPr>
        <w:pStyle w:val="Normal2"/>
      </w:pPr>
      <w:r>
        <w:t xml:space="preserve">This finding </w:t>
      </w:r>
      <w:r w:rsidR="005030E2">
        <w:t>should be addressed through</w:t>
      </w:r>
      <w:r>
        <w:t xml:space="preserve"> </w:t>
      </w:r>
      <w:r w:rsidR="005030E2">
        <w:t xml:space="preserve">targeted </w:t>
      </w:r>
      <w:r>
        <w:t xml:space="preserve">emergency preparedness campaigns </w:t>
      </w:r>
      <w:r w:rsidR="005030E2">
        <w:t xml:space="preserve">that proactively </w:t>
      </w:r>
      <w:r>
        <w:t>encourage more people with</w:t>
      </w:r>
      <w:r w:rsidR="00D76A9E">
        <w:t xml:space="preserve"> disabilities or other</w:t>
      </w:r>
      <w:r>
        <w:t xml:space="preserve"> access and functional needs and their caregivers</w:t>
      </w:r>
      <w:r w:rsidR="00570DD8">
        <w:t>,</w:t>
      </w:r>
      <w:r w:rsidR="00687E5B">
        <w:t xml:space="preserve"> </w:t>
      </w:r>
      <w:r w:rsidR="00570DD8">
        <w:t xml:space="preserve">family members, friends and advocates </w:t>
      </w:r>
      <w:r>
        <w:t xml:space="preserve">to </w:t>
      </w:r>
      <w:r w:rsidR="00570DD8">
        <w:t xml:space="preserve">inform </w:t>
      </w:r>
      <w:r>
        <w:t>local authorities</w:t>
      </w:r>
      <w:r w:rsidR="00570DD8">
        <w:t xml:space="preserve"> of their needs in event of emergency or disaster</w:t>
      </w:r>
      <w:r>
        <w:t>.</w:t>
      </w:r>
      <w:r w:rsidR="005030E2">
        <w:t xml:space="preserve"> </w:t>
      </w:r>
      <w:r w:rsidR="006D1DC9">
        <w:t xml:space="preserve">However, any effort to establish or promote a registry must clarify that such an action does not imply any priority status (e.g. that their power would be restored first).  </w:t>
      </w:r>
    </w:p>
    <w:p w14:paraId="32F542D2" w14:textId="5AA1CB84" w:rsidR="00310356" w:rsidRDefault="006D1DC9" w:rsidP="000A73D9">
      <w:pPr>
        <w:pStyle w:val="Normal2"/>
      </w:pPr>
      <w:r>
        <w:t>C</w:t>
      </w:r>
      <w:r w:rsidR="00310356">
        <w:t xml:space="preserve">ross-referencing disability status information collected through the US Census may help local authorities and utility service providers </w:t>
      </w:r>
      <w:r w:rsidR="00570DD8">
        <w:t xml:space="preserve">develop outreach campaigns that </w:t>
      </w:r>
      <w:r w:rsidR="00310356">
        <w:t>target people who need special consideration in emergency or disaster situations</w:t>
      </w:r>
      <w:r w:rsidR="00570DD8">
        <w:t>.</w:t>
      </w:r>
      <w:r w:rsidR="00687E5B">
        <w:t xml:space="preserve"> </w:t>
      </w:r>
      <w:r>
        <w:t xml:space="preserve">US Census data should be used cautiously </w:t>
      </w:r>
      <w:r w:rsidR="00310356">
        <w:t xml:space="preserve">as nearly one fifth of survey respondents indicated that they or the person </w:t>
      </w:r>
      <w:r w:rsidR="00570DD8">
        <w:t xml:space="preserve">for whom </w:t>
      </w:r>
      <w:r w:rsidR="00310356">
        <w:t xml:space="preserve">they were answering did not claim disability status on the 2010 </w:t>
      </w:r>
      <w:r w:rsidR="00687E5B">
        <w:t xml:space="preserve">US </w:t>
      </w:r>
      <w:r w:rsidR="00310356">
        <w:t>Census.</w:t>
      </w:r>
      <w:r>
        <w:t xml:space="preserve">  Multiple sources of data including</w:t>
      </w:r>
      <w:r w:rsidR="00AA1EA1">
        <w:t xml:space="preserve"> </w:t>
      </w:r>
      <w:r w:rsidR="00D83897">
        <w:t>t</w:t>
      </w:r>
      <w:r w:rsidR="00D76A9E">
        <w:t>he Behavioral Risk Factor Surveillance System (BRFSS)</w:t>
      </w:r>
      <w:r w:rsidR="00D83897">
        <w:t xml:space="preserve"> telephone survey database</w:t>
      </w:r>
      <w:r w:rsidR="00AA1EA1">
        <w:t>,</w:t>
      </w:r>
      <w:r w:rsidR="00D76A9E">
        <w:t xml:space="preserve"> </w:t>
      </w:r>
      <w:r w:rsidR="00D83897">
        <w:t xml:space="preserve">the U.S. Department of Health and Human Services </w:t>
      </w:r>
      <w:proofErr w:type="spellStart"/>
      <w:r w:rsidR="00D83897">
        <w:t>emPOWER</w:t>
      </w:r>
      <w:proofErr w:type="spellEnd"/>
      <w:r w:rsidR="00D83897">
        <w:t xml:space="preserve"> interactive online map,</w:t>
      </w:r>
      <w:r w:rsidR="00AA1EA1">
        <w:t xml:space="preserve"> and</w:t>
      </w:r>
      <w:r>
        <w:t xml:space="preserve"> local </w:t>
      </w:r>
      <w:r w:rsidR="00AA1EA1">
        <w:t>registries</w:t>
      </w:r>
      <w:r>
        <w:t xml:space="preserve"> should be utilized in conjunction with </w:t>
      </w:r>
      <w:r w:rsidR="00687E5B">
        <w:t xml:space="preserve">US </w:t>
      </w:r>
      <w:r>
        <w:t>Census</w:t>
      </w:r>
      <w:r w:rsidR="00AA1EA1">
        <w:t xml:space="preserve"> </w:t>
      </w:r>
      <w:r>
        <w:t>data</w:t>
      </w:r>
      <w:r w:rsidR="00EA1D60">
        <w:t>.</w:t>
      </w:r>
      <w:r w:rsidR="0021699C">
        <w:t xml:space="preserve"> Links to these resources can be found in the References section.</w:t>
      </w:r>
    </w:p>
    <w:p w14:paraId="6B9A07F9" w14:textId="25463675" w:rsidR="000A73D9" w:rsidRDefault="000A73D9" w:rsidP="000A73D9">
      <w:pPr>
        <w:pStyle w:val="Heading3"/>
      </w:pPr>
      <w:bookmarkStart w:id="9" w:name="_Toc461612410"/>
      <w:r>
        <w:t>Finding 2</w:t>
      </w:r>
      <w:r w:rsidR="00D65E74">
        <w:t>: Few people with emergency plans</w:t>
      </w:r>
      <w:bookmarkEnd w:id="9"/>
    </w:p>
    <w:p w14:paraId="3B85487D" w14:textId="2BFB6B72" w:rsidR="00381DFA" w:rsidRDefault="00310356" w:rsidP="00381DFA">
      <w:r>
        <w:t xml:space="preserve">Responses from the item asking respondents to indicate whether they or the person they were answering for had an emergency plan revealed that the majority of </w:t>
      </w:r>
      <w:r w:rsidR="00A11AAE">
        <w:t>respondents</w:t>
      </w:r>
      <w:r>
        <w:t xml:space="preserve"> said that they or the person they were answering for did not </w:t>
      </w:r>
      <w:r w:rsidR="00A11AAE">
        <w:t>have a personal emergency plan.</w:t>
      </w:r>
      <w:r w:rsidR="00A85178">
        <w:t xml:space="preserve"> Additionally, many respondents who did report having a personal emergency plan did not include a medical information card, or</w:t>
      </w:r>
      <w:r w:rsidR="006D60D6">
        <w:t xml:space="preserve"> a</w:t>
      </w:r>
      <w:r w:rsidR="00A85178">
        <w:t xml:space="preserve"> card describing any difficulties with communication</w:t>
      </w:r>
      <w:r w:rsidR="009F74F9">
        <w:t xml:space="preserve"> as a component of their plan</w:t>
      </w:r>
      <w:r w:rsidR="00A85178">
        <w:t>.</w:t>
      </w:r>
    </w:p>
    <w:p w14:paraId="5306396A" w14:textId="77777777" w:rsidR="000A73D9" w:rsidRDefault="00381DFA" w:rsidP="000A73D9">
      <w:pPr>
        <w:pStyle w:val="Heading4"/>
      </w:pPr>
      <w:r>
        <w:t>Recommendation</w:t>
      </w:r>
    </w:p>
    <w:p w14:paraId="59651148" w14:textId="3CBD1CF8" w:rsidR="00255FE1" w:rsidRDefault="00C62EBB" w:rsidP="000A73D9">
      <w:pPr>
        <w:pStyle w:val="Normal2"/>
      </w:pPr>
      <w:r>
        <w:t>In line with recommendations from the National Council on Disabilities</w:t>
      </w:r>
      <w:r w:rsidR="0066552A">
        <w:t xml:space="preserve"> (NCD)</w:t>
      </w:r>
      <w:r>
        <w:t xml:space="preserve"> (2014) report “Effective Communications for People with Disabilities: Before, During, and After Emergencies” e</w:t>
      </w:r>
      <w:r w:rsidR="00310356">
        <w:t xml:space="preserve">mergency </w:t>
      </w:r>
      <w:r w:rsidR="00AA1EA1">
        <w:t xml:space="preserve">planners </w:t>
      </w:r>
      <w:r w:rsidR="00310356">
        <w:t xml:space="preserve">should </w:t>
      </w:r>
      <w:r w:rsidR="00AA1EA1">
        <w:t>include</w:t>
      </w:r>
      <w:r w:rsidR="00A11AAE">
        <w:t xml:space="preserve"> people with</w:t>
      </w:r>
      <w:r w:rsidR="00D76A9E">
        <w:t xml:space="preserve"> disabilities or other</w:t>
      </w:r>
      <w:r w:rsidR="00A11AAE">
        <w:t xml:space="preserve"> access and functional needs</w:t>
      </w:r>
      <w:r w:rsidR="00310356">
        <w:t xml:space="preserve"> </w:t>
      </w:r>
      <w:r w:rsidR="00AA1EA1">
        <w:t xml:space="preserve">in developing and implementing public preparedness campaigns that address </w:t>
      </w:r>
      <w:r w:rsidR="00310356">
        <w:t xml:space="preserve">contingencies for </w:t>
      </w:r>
      <w:r w:rsidR="00A11AAE">
        <w:t xml:space="preserve">specific </w:t>
      </w:r>
      <w:r w:rsidR="00310356">
        <w:t>emergencies</w:t>
      </w:r>
      <w:r w:rsidR="00A11AAE">
        <w:t xml:space="preserve"> or disaster</w:t>
      </w:r>
      <w:r w:rsidR="009D0C24">
        <w:t>s.</w:t>
      </w:r>
      <w:r w:rsidR="00310356">
        <w:t xml:space="preserve"> </w:t>
      </w:r>
      <w:r w:rsidR="009D0C24">
        <w:t>B</w:t>
      </w:r>
      <w:r w:rsidR="00310356">
        <w:t xml:space="preserve">est practices for what this </w:t>
      </w:r>
      <w:r w:rsidR="009D0C24">
        <w:t>public awareness campaign to promote personal preparedness specifically among people with disabilities and other access and functional needs</w:t>
      </w:r>
      <w:r w:rsidR="00310356">
        <w:t xml:space="preserve"> should includ</w:t>
      </w:r>
      <w:r w:rsidR="00EA1D60">
        <w:t xml:space="preserve">e </w:t>
      </w:r>
      <w:r w:rsidR="001E1D4E">
        <w:t>preparing</w:t>
      </w:r>
      <w:r w:rsidR="00EA1D60">
        <w:t xml:space="preserve"> a personal emergency kit, making a plan</w:t>
      </w:r>
      <w:r w:rsidR="001E1D4E">
        <w:t xml:space="preserve">, and staying informed. The U.S. Department of Homeland Security in consultation with AARP, the American Red Cross, and the National Organization on Disability worked with the FEMA Office of Disability Integration and Coordination to produce an informative brochure outlining these best practices and can be downloaded from the web (FEMA, 2015). </w:t>
      </w:r>
      <w:r w:rsidR="00255FE1">
        <w:t>In addition, the Institute on Disabilities at Temple University has created several resources focused on personal preparedness, including:</w:t>
      </w:r>
    </w:p>
    <w:p w14:paraId="2A8B7FC4" w14:textId="45C75C12" w:rsidR="00A85178" w:rsidRDefault="00136177" w:rsidP="00165CCD">
      <w:pPr>
        <w:pStyle w:val="Normal2"/>
      </w:pPr>
      <w:r w:rsidRPr="006A4B89">
        <w:rPr>
          <w:i/>
          <w:u w:val="single"/>
        </w:rPr>
        <w:t>My Emergency Readiness Plan- P</w:t>
      </w:r>
      <w:r w:rsidR="00BC1B0F" w:rsidRPr="006A4B89">
        <w:rPr>
          <w:i/>
          <w:u w:val="single"/>
        </w:rPr>
        <w:t>A</w:t>
      </w:r>
      <w:r w:rsidR="00BC1B0F" w:rsidRPr="006A4B89">
        <w:rPr>
          <w:u w:val="single"/>
        </w:rPr>
        <w:t>:</w:t>
      </w:r>
      <w:r w:rsidR="00BC1B0F">
        <w:t xml:space="preserve"> This document is</w:t>
      </w:r>
      <w:r w:rsidR="00255FE1">
        <w:t xml:space="preserve"> </w:t>
      </w:r>
      <w:r>
        <w:t xml:space="preserve">an </w:t>
      </w:r>
      <w:r w:rsidR="00255FE1">
        <w:t xml:space="preserve">interactive form designed to help people with disabilities create personal plans to prepare themselves, their families and their supports for emergencies. </w:t>
      </w:r>
      <w:r w:rsidR="001E1D4E">
        <w:t xml:space="preserve">Local emergency planners </w:t>
      </w:r>
      <w:r w:rsidR="00792514">
        <w:t xml:space="preserve">and service providers </w:t>
      </w:r>
      <w:r w:rsidR="001E1D4E">
        <w:t>should make efforts to distribute this information to people with disabilities and other access and functional needs in their area, taking care to thoroughly explain and discuss details with their constituents</w:t>
      </w:r>
      <w:r w:rsidR="00792514">
        <w:t xml:space="preserve"> (</w:t>
      </w:r>
      <w:r w:rsidR="006A4B89">
        <w:t>Institute on Disabilities [IOD], 2016</w:t>
      </w:r>
      <w:r w:rsidR="00792514">
        <w:t>)</w:t>
      </w:r>
      <w:r w:rsidR="001E1D4E">
        <w:t>.</w:t>
      </w:r>
    </w:p>
    <w:p w14:paraId="2096719E" w14:textId="5C4CC3C7" w:rsidR="00136177" w:rsidRDefault="00136177" w:rsidP="00165CCD">
      <w:pPr>
        <w:pStyle w:val="Normal2"/>
      </w:pPr>
      <w:r w:rsidRPr="006A4B89">
        <w:rPr>
          <w:i/>
          <w:u w:val="single"/>
        </w:rPr>
        <w:t>Emergency Communication 4 ALL Aid</w:t>
      </w:r>
      <w:r w:rsidR="00165CCD" w:rsidRPr="006A4B89">
        <w:rPr>
          <w:i/>
          <w:u w:val="single"/>
        </w:rPr>
        <w:t>s</w:t>
      </w:r>
      <w:r w:rsidR="00BC1B0F">
        <w:t>:</w:t>
      </w:r>
      <w:r>
        <w:rPr>
          <w:i/>
        </w:rPr>
        <w:t xml:space="preserve"> </w:t>
      </w:r>
      <w:r w:rsidR="00BC1B0F">
        <w:t xml:space="preserve">This document is a printable tool that features </w:t>
      </w:r>
      <w:r>
        <w:t xml:space="preserve">low tech </w:t>
      </w:r>
      <w:r w:rsidRPr="00165CCD">
        <w:t xml:space="preserve">communication </w:t>
      </w:r>
      <w:r w:rsidR="00BC1B0F">
        <w:t xml:space="preserve">icons commonly </w:t>
      </w:r>
      <w:r w:rsidRPr="00165CCD">
        <w:t xml:space="preserve">used by people with communication disabilities and by people who do not speak English during an emergency. Designed for people with disabilities as well as emergency shelter workers and first responders, these aids can be downloaded </w:t>
      </w:r>
      <w:r w:rsidR="00792514">
        <w:t>at</w:t>
      </w:r>
      <w:r w:rsidR="00165CCD">
        <w:t xml:space="preserve"> no cost </w:t>
      </w:r>
      <w:r w:rsidR="00792514">
        <w:t>(</w:t>
      </w:r>
      <w:r w:rsidR="006A4B89">
        <w:t>IOD, 2016</w:t>
      </w:r>
      <w:r w:rsidR="00792514">
        <w:t>)</w:t>
      </w:r>
      <w:r w:rsidRPr="00165CCD">
        <w:t>.</w:t>
      </w:r>
    </w:p>
    <w:p w14:paraId="6444B617" w14:textId="72C08537" w:rsidR="00136177" w:rsidRDefault="00136177" w:rsidP="00165CCD">
      <w:pPr>
        <w:pStyle w:val="Normal2"/>
      </w:pPr>
      <w:r w:rsidRPr="006A4B89">
        <w:rPr>
          <w:i/>
          <w:u w:val="single"/>
        </w:rPr>
        <w:t>Are You Ready? Emergency Preparedness for Individuals with Disabilitie</w:t>
      </w:r>
      <w:r w:rsidR="007D091E" w:rsidRPr="006A4B89">
        <w:rPr>
          <w:i/>
          <w:u w:val="single"/>
        </w:rPr>
        <w:t>s</w:t>
      </w:r>
      <w:r w:rsidR="007D091E">
        <w:rPr>
          <w:i/>
        </w:rPr>
        <w:t>:</w:t>
      </w:r>
      <w:r w:rsidR="007D091E">
        <w:t xml:space="preserve"> This</w:t>
      </w:r>
      <w:r>
        <w:t xml:space="preserve"> archived webinar</w:t>
      </w:r>
      <w:r w:rsidR="007D091E">
        <w:t xml:space="preserve"> (recorded in 2014)</w:t>
      </w:r>
      <w:r>
        <w:t xml:space="preserve"> </w:t>
      </w:r>
      <w:r w:rsidR="007D091E">
        <w:t xml:space="preserve">presents </w:t>
      </w:r>
      <w:r>
        <w:t xml:space="preserve">strategies in preparing </w:t>
      </w:r>
      <w:r w:rsidRPr="00136177">
        <w:t>individuals who have a variety of needs (including access and functional) for disasters and emergencies</w:t>
      </w:r>
      <w:r w:rsidR="00792514">
        <w:t xml:space="preserve"> (</w:t>
      </w:r>
      <w:r w:rsidR="006A4B89">
        <w:t>IOD, 2016</w:t>
      </w:r>
      <w:r w:rsidR="00792514">
        <w:t>)</w:t>
      </w:r>
      <w:r w:rsidRPr="00136177">
        <w:t>.</w:t>
      </w:r>
    </w:p>
    <w:p w14:paraId="16755588" w14:textId="5EC38B0F" w:rsidR="00BC1B0F" w:rsidRDefault="00BC1B0F" w:rsidP="00165CCD">
      <w:pPr>
        <w:pStyle w:val="Normal2"/>
      </w:pPr>
      <w:r w:rsidRPr="006A4B89">
        <w:rPr>
          <w:i/>
          <w:u w:val="single"/>
        </w:rPr>
        <w:t>Encountering People with Disa</w:t>
      </w:r>
      <w:r w:rsidR="007D091E" w:rsidRPr="006A4B89">
        <w:rPr>
          <w:i/>
          <w:u w:val="single"/>
        </w:rPr>
        <w:t>bilities in Emergency Situations</w:t>
      </w:r>
      <w:r w:rsidR="007D091E">
        <w:rPr>
          <w:i/>
        </w:rPr>
        <w:t>:</w:t>
      </w:r>
      <w:r>
        <w:rPr>
          <w:i/>
        </w:rPr>
        <w:t xml:space="preserve"> </w:t>
      </w:r>
      <w:r w:rsidR="007D091E">
        <w:t>T</w:t>
      </w:r>
      <w:r>
        <w:t>his webinar</w:t>
      </w:r>
      <w:r w:rsidR="007D091E">
        <w:t xml:space="preserve"> (recorded in 2013)</w:t>
      </w:r>
      <w:r>
        <w:t xml:space="preserve"> is </w:t>
      </w:r>
      <w:r w:rsidR="007D091E">
        <w:t xml:space="preserve">designed </w:t>
      </w:r>
      <w:r>
        <w:t>for first responders and describes strategies on how to communicate with people with disabilities</w:t>
      </w:r>
      <w:r w:rsidR="006A4B89">
        <w:t xml:space="preserve"> (IOD, 2016)</w:t>
      </w:r>
      <w:r>
        <w:t>.</w:t>
      </w:r>
    </w:p>
    <w:p w14:paraId="5EDF13F6" w14:textId="1157D66E" w:rsidR="00310356" w:rsidRDefault="00A85178" w:rsidP="000A73D9">
      <w:pPr>
        <w:pStyle w:val="Normal2"/>
      </w:pPr>
      <w:r>
        <w:t>Emergency planning personnel are tasked with providing shelter and care for all individuals regardless of their specialized needs, and</w:t>
      </w:r>
      <w:r w:rsidR="00F4400A">
        <w:t xml:space="preserve"> oftent</w:t>
      </w:r>
      <w:r>
        <w:t xml:space="preserve">imes </w:t>
      </w:r>
      <w:r w:rsidR="009F74F9">
        <w:t xml:space="preserve">conditions within shelters </w:t>
      </w:r>
      <w:r>
        <w:t xml:space="preserve">during emergency or disaster situations </w:t>
      </w:r>
      <w:r w:rsidR="00792514">
        <w:t>may be</w:t>
      </w:r>
      <w:r w:rsidR="006A4B89">
        <w:t xml:space="preserve"> chaotic. The neurophysiological response to periods of heightened stress</w:t>
      </w:r>
      <w:r w:rsidR="009F74F9">
        <w:t xml:space="preserve"> can impact thinking abilities </w:t>
      </w:r>
      <w:r w:rsidR="006A4B89">
        <w:t xml:space="preserve">associated with memory </w:t>
      </w:r>
      <w:r w:rsidR="009F74F9">
        <w:t xml:space="preserve">and </w:t>
      </w:r>
      <w:r w:rsidR="006A4B89">
        <w:t>communication</w:t>
      </w:r>
      <w:r w:rsidR="009F74F9">
        <w:t xml:space="preserve"> in any individual with or without access or functional needs or disabilities</w:t>
      </w:r>
      <w:r w:rsidR="00792514">
        <w:t xml:space="preserve"> (</w:t>
      </w:r>
      <w:r w:rsidR="006A4B89">
        <w:t xml:space="preserve">McEwen &amp; </w:t>
      </w:r>
      <w:proofErr w:type="spellStart"/>
      <w:r w:rsidR="006A4B89">
        <w:t>Sapolsky</w:t>
      </w:r>
      <w:proofErr w:type="spellEnd"/>
      <w:r w:rsidR="006A4B89">
        <w:t>, 1995</w:t>
      </w:r>
      <w:r w:rsidR="00792514">
        <w:t>)</w:t>
      </w:r>
      <w:r w:rsidR="009F74F9">
        <w:t>. Therefore, emergency shelter personnel may find that individuals with access and functional needs, especially those with communicative difficulties and other disabilities, cannot articulate and express their</w:t>
      </w:r>
      <w:r w:rsidR="00792514">
        <w:t xml:space="preserve"> thoughts and</w:t>
      </w:r>
      <w:r w:rsidR="009F74F9">
        <w:t xml:space="preserve"> needs clearly</w:t>
      </w:r>
      <w:r w:rsidR="001F382B">
        <w:t>, or remember pertinent information</w:t>
      </w:r>
      <w:r w:rsidR="009F74F9">
        <w:t xml:space="preserve">. Combined with the finding that many people with access and functional needs, especially those with disabilities may possess little to no information about their needs, it is vitally important that </w:t>
      </w:r>
      <w:r w:rsidR="00792514">
        <w:t>those working as responders</w:t>
      </w:r>
      <w:r w:rsidR="009F74F9">
        <w:t xml:space="preserve"> be trained in assessing these needs and interacting effectively with this population</w:t>
      </w:r>
      <w:r w:rsidR="00BC1B0F">
        <w:t xml:space="preserve"> (NCD</w:t>
      </w:r>
      <w:r w:rsidR="0066552A">
        <w:t>, 2014).</w:t>
      </w:r>
    </w:p>
    <w:p w14:paraId="1177255B" w14:textId="11A3E11A" w:rsidR="003761B2" w:rsidRDefault="003761B2" w:rsidP="00F4400A">
      <w:pPr>
        <w:pStyle w:val="Heading3"/>
      </w:pPr>
      <w:bookmarkStart w:id="10" w:name="_Toc461612411"/>
      <w:r>
        <w:t>Finding 3</w:t>
      </w:r>
      <w:r w:rsidR="00D65E74">
        <w:t>: Prevalence of difficulties with daily living activities</w:t>
      </w:r>
      <w:bookmarkEnd w:id="10"/>
    </w:p>
    <w:p w14:paraId="3E31CC2C" w14:textId="67E7734B" w:rsidR="003761B2" w:rsidRDefault="003679EF" w:rsidP="00F4400A">
      <w:r>
        <w:t xml:space="preserve">When asked about what types of activities PWD and ACO respondents needed help with, many </w:t>
      </w:r>
      <w:r w:rsidR="003761B2">
        <w:t xml:space="preserve">respondents indicated needing </w:t>
      </w:r>
      <w:r>
        <w:t>assistance</w:t>
      </w:r>
      <w:r w:rsidR="003761B2">
        <w:t xml:space="preserve"> with daily living activities and personal care, i.e., preparing meals, ta</w:t>
      </w:r>
      <w:r>
        <w:t>king or remembering medications.</w:t>
      </w:r>
    </w:p>
    <w:p w14:paraId="5FEC7191" w14:textId="1885288A" w:rsidR="003761B2" w:rsidRDefault="003761B2" w:rsidP="00F4400A">
      <w:pPr>
        <w:pStyle w:val="Heading4"/>
      </w:pPr>
      <w:r>
        <w:t>Recommendation</w:t>
      </w:r>
    </w:p>
    <w:p w14:paraId="1F12A3F0" w14:textId="0F9490FB" w:rsidR="002E7B31" w:rsidRPr="009C78B7" w:rsidRDefault="002E7B31" w:rsidP="00350D8A">
      <w:pPr>
        <w:pStyle w:val="Normal2"/>
      </w:pPr>
      <w:r w:rsidRPr="009C78B7">
        <w:t>Training is necessary to ensure that emergency personnel and first responders are effectively assisti</w:t>
      </w:r>
      <w:r w:rsidR="00B52BBF" w:rsidRPr="009C78B7">
        <w:t>ng</w:t>
      </w:r>
      <w:r w:rsidRPr="009C78B7">
        <w:t xml:space="preserve"> and communicating with people with disabilities and others with access and functional needs</w:t>
      </w:r>
      <w:r w:rsidR="007D091E">
        <w:t xml:space="preserve"> about their daily living activity and personal care needs</w:t>
      </w:r>
      <w:r w:rsidRPr="009C78B7">
        <w:t>. As noted by the Department of Justice (2014), “A critical and often overlooked component of ensuring success is comprehensive and ongoing staff training. Covered entities may have established good policies, but if front line staff are not aware of them or do not know how to implement them, problems can arise.”</w:t>
      </w:r>
    </w:p>
    <w:p w14:paraId="3E9BD036" w14:textId="334CD1F7" w:rsidR="0032746F" w:rsidRDefault="003B4143" w:rsidP="00350D8A">
      <w:pPr>
        <w:pStyle w:val="Normal2"/>
        <w:rPr>
          <w:b/>
          <w:sz w:val="28"/>
          <w:szCs w:val="26"/>
        </w:rPr>
      </w:pPr>
      <w:r>
        <w:t>By m</w:t>
      </w:r>
      <w:r w:rsidR="0076553C">
        <w:t>aking efforts to coordinate and collaborate with</w:t>
      </w:r>
      <w:r w:rsidR="002E7B31" w:rsidRPr="002A4160">
        <w:t xml:space="preserve"> </w:t>
      </w:r>
      <w:r w:rsidR="00B52BBF" w:rsidRPr="002A4160">
        <w:t>subject matter experts</w:t>
      </w:r>
      <w:r w:rsidR="0076553C">
        <w:t xml:space="preserve"> and key stakeholders in emergency preparedness and disability studies, e.g., </w:t>
      </w:r>
      <w:r w:rsidR="0076553C" w:rsidRPr="002F3745">
        <w:t xml:space="preserve">regional disability integration specialists from FEMA, statewide Centers for Independent Living (CILs), </w:t>
      </w:r>
      <w:r w:rsidR="0076553C">
        <w:t xml:space="preserve">and </w:t>
      </w:r>
      <w:r w:rsidR="0076553C" w:rsidRPr="002F3745">
        <w:t>University Center</w:t>
      </w:r>
      <w:r w:rsidR="0076553C">
        <w:rPr>
          <w:bCs/>
          <w:iCs/>
        </w:rPr>
        <w:t>s</w:t>
      </w:r>
      <w:r w:rsidR="0076553C" w:rsidRPr="002F3745">
        <w:t xml:space="preserve"> for Excellence in Developmental Disabilities Education</w:t>
      </w:r>
      <w:r w:rsidR="0076553C">
        <w:rPr>
          <w:bCs/>
          <w:iCs/>
        </w:rPr>
        <w:t xml:space="preserve"> </w:t>
      </w:r>
      <w:r w:rsidR="0076553C" w:rsidRPr="002F3745">
        <w:t>(UCEDD</w:t>
      </w:r>
      <w:r w:rsidR="0076553C">
        <w:t>s</w:t>
      </w:r>
      <w:r w:rsidR="0076553C" w:rsidRPr="002F3745">
        <w:t>)</w:t>
      </w:r>
      <w:r w:rsidR="0076553C">
        <w:t>,</w:t>
      </w:r>
      <w:r w:rsidR="00B52BBF" w:rsidRPr="002A4160">
        <w:t xml:space="preserve"> </w:t>
      </w:r>
      <w:r w:rsidR="0076553C">
        <w:t>training for emergency professionals can be</w:t>
      </w:r>
      <w:r>
        <w:t xml:space="preserve"> more effectively</w:t>
      </w:r>
      <w:r w:rsidR="0076553C">
        <w:t xml:space="preserve"> structured to best</w:t>
      </w:r>
      <w:r w:rsidR="002E7B31" w:rsidRPr="002A4160">
        <w:t xml:space="preserve"> </w:t>
      </w:r>
      <w:r w:rsidR="00B52BBF" w:rsidRPr="002A4160">
        <w:t xml:space="preserve">identify and ensure assistance with </w:t>
      </w:r>
      <w:r>
        <w:t>daily living and personal care activities</w:t>
      </w:r>
      <w:r w:rsidR="002929D2">
        <w:t xml:space="preserve"> for people with access and functional needs, especially those with disabilities</w:t>
      </w:r>
      <w:r w:rsidR="002E7B31" w:rsidRPr="002A4160">
        <w:t xml:space="preserve">. Creating a model template for training </w:t>
      </w:r>
      <w:r>
        <w:t>should</w:t>
      </w:r>
      <w:r w:rsidR="002E7B31" w:rsidRPr="002A4160">
        <w:t xml:space="preserve"> include partnership</w:t>
      </w:r>
      <w:r>
        <w:t>s</w:t>
      </w:r>
      <w:r w:rsidR="002E7B31" w:rsidRPr="002A4160">
        <w:t xml:space="preserve"> with </w:t>
      </w:r>
      <w:r w:rsidR="00E16F66" w:rsidRPr="00E16F66">
        <w:t>PEMA</w:t>
      </w:r>
      <w:r w:rsidR="009C78B7">
        <w:t xml:space="preserve">, </w:t>
      </w:r>
      <w:r w:rsidR="00E16F66">
        <w:t xml:space="preserve">PA DOH, </w:t>
      </w:r>
      <w:r w:rsidR="002929D2">
        <w:t xml:space="preserve">state ADA coordinators, </w:t>
      </w:r>
      <w:r w:rsidR="009C78B7">
        <w:t>the American Red Cross</w:t>
      </w:r>
      <w:r w:rsidR="002E7B31" w:rsidRPr="002A4160">
        <w:t xml:space="preserve"> and other organizations</w:t>
      </w:r>
      <w:r w:rsidR="009C78B7">
        <w:t xml:space="preserve"> mentioned above</w:t>
      </w:r>
      <w:r w:rsidR="002E7B31" w:rsidRPr="002A4160">
        <w:t xml:space="preserve">. </w:t>
      </w:r>
      <w:r w:rsidRPr="002F3745">
        <w:t>It is important that the training occur several times during the year, as personnel turnover can have an impact on the effectiveness of the training, especially during deployment</w:t>
      </w:r>
      <w:r>
        <w:t>; therefore, e</w:t>
      </w:r>
      <w:r w:rsidR="002E7B31" w:rsidRPr="002A4160">
        <w:t xml:space="preserve">xtensive training of </w:t>
      </w:r>
      <w:r>
        <w:t>emergency professionals</w:t>
      </w:r>
      <w:r w:rsidR="002E7B31" w:rsidRPr="002A4160">
        <w:t xml:space="preserve"> </w:t>
      </w:r>
      <w:r>
        <w:t xml:space="preserve">in all positions (volunteer or paid) </w:t>
      </w:r>
      <w:r w:rsidR="002E7B31" w:rsidRPr="002A4160">
        <w:t>should be conducted</w:t>
      </w:r>
      <w:r w:rsidR="009C78B7">
        <w:t xml:space="preserve"> </w:t>
      </w:r>
      <w:r>
        <w:t>at least biannually</w:t>
      </w:r>
      <w:r w:rsidR="002E7B31" w:rsidRPr="002A4160">
        <w:t>.</w:t>
      </w:r>
      <w:r w:rsidR="002929D2">
        <w:t xml:space="preserve"> </w:t>
      </w:r>
      <w:r>
        <w:t>Appropriate f</w:t>
      </w:r>
      <w:r w:rsidR="002E7B31" w:rsidRPr="002A4160">
        <w:t>und</w:t>
      </w:r>
      <w:r>
        <w:t>s</w:t>
      </w:r>
      <w:r w:rsidR="002E7B31" w:rsidRPr="002A4160">
        <w:t xml:space="preserve"> should be allocated for</w:t>
      </w:r>
      <w:r>
        <w:t xml:space="preserve"> training purposes and reasonable accommodations as requested</w:t>
      </w:r>
      <w:r w:rsidR="002E7B31" w:rsidRPr="002A4160">
        <w:t>.</w:t>
      </w:r>
      <w:r w:rsidR="0032746F">
        <w:br w:type="page"/>
      </w:r>
    </w:p>
    <w:p w14:paraId="3C288BC2" w14:textId="0E11093B" w:rsidR="00A11AAE" w:rsidRDefault="00A11AAE" w:rsidP="009D0C24">
      <w:pPr>
        <w:pStyle w:val="Heading2"/>
      </w:pPr>
      <w:bookmarkStart w:id="11" w:name="_Toc461612412"/>
      <w:r>
        <w:t>Implications for further study</w:t>
      </w:r>
      <w:bookmarkEnd w:id="11"/>
    </w:p>
    <w:p w14:paraId="5109FD7B" w14:textId="14979CCE" w:rsidR="00923A15" w:rsidRDefault="00923A15" w:rsidP="000A73D9">
      <w:pPr>
        <w:spacing w:line="276" w:lineRule="auto"/>
      </w:pPr>
      <w:r>
        <w:t xml:space="preserve">A more complex and potentially revelatory analysis of respondents’ answers would have been possible if respondents who were classified as </w:t>
      </w:r>
      <w:r w:rsidR="00F47196">
        <w:t>a</w:t>
      </w:r>
      <w:r>
        <w:t>dvocates/</w:t>
      </w:r>
      <w:r w:rsidR="00F47196">
        <w:t>c</w:t>
      </w:r>
      <w:r>
        <w:t>aregivers/</w:t>
      </w:r>
      <w:r w:rsidR="00F47196">
        <w:t>o</w:t>
      </w:r>
      <w:r>
        <w:t>thers (ACOs) were asked to</w:t>
      </w:r>
      <w:r w:rsidR="000A73D9">
        <w:t xml:space="preserve"> further</w:t>
      </w:r>
      <w:r>
        <w:t xml:space="preserve"> clarify their role in the life of the person </w:t>
      </w:r>
      <w:r w:rsidR="00C957C3">
        <w:t xml:space="preserve">on whose behalf </w:t>
      </w:r>
      <w:r>
        <w:t>they were answering</w:t>
      </w:r>
      <w:r w:rsidR="00C957C3">
        <w:t>.</w:t>
      </w:r>
      <w:r w:rsidR="00687E5B">
        <w:t xml:space="preserve"> </w:t>
      </w:r>
      <w:r>
        <w:t xml:space="preserve">This delineation may have revealed differences in respondents’ answers based on the various roles they play, e.g., do </w:t>
      </w:r>
      <w:r w:rsidR="00C957C3">
        <w:t xml:space="preserve">paid </w:t>
      </w:r>
      <w:r>
        <w:t>persona</w:t>
      </w:r>
      <w:r w:rsidR="000A73D9">
        <w:t>l care assistants have different</w:t>
      </w:r>
      <w:r>
        <w:t xml:space="preserve"> perspectives or opinions</w:t>
      </w:r>
      <w:r w:rsidR="00C957C3">
        <w:t xml:space="preserve"> than unpaid supports (friends, families) or</w:t>
      </w:r>
      <w:r>
        <w:t xml:space="preserve"> other types of support professionals</w:t>
      </w:r>
      <w:r w:rsidR="00C957C3">
        <w:t>/advocates</w:t>
      </w:r>
      <w:r>
        <w:t>? In addition, answers from various groups of people may help understand where and how information about emergency preparedness is being disseminated and received.</w:t>
      </w:r>
    </w:p>
    <w:p w14:paraId="1A79C715" w14:textId="1CBFB3C2" w:rsidR="008D4AF0" w:rsidRDefault="008D4AF0" w:rsidP="000A73D9">
      <w:pPr>
        <w:spacing w:line="276" w:lineRule="auto"/>
      </w:pPr>
      <w:r>
        <w:t xml:space="preserve">Although the sample of survey respondents was not large enough to claim </w:t>
      </w:r>
      <w:r w:rsidR="00687E5B">
        <w:t xml:space="preserve">holistic </w:t>
      </w:r>
      <w:r>
        <w:t xml:space="preserve">representation of all Pennsylvanians with disabilities, and despite the fact that the vast majority of respondents came from urban counties, </w:t>
      </w:r>
      <w:r w:rsidR="002929D2">
        <w:t xml:space="preserve">this sample of </w:t>
      </w:r>
      <w:r>
        <w:t xml:space="preserve">respondents most likely represented individuals who are integrally connected to their local disability community due to the Institution on Disabilities’ </w:t>
      </w:r>
      <w:r w:rsidR="002929D2">
        <w:t xml:space="preserve">high </w:t>
      </w:r>
      <w:r w:rsidR="00413D89">
        <w:t>quality of electronic networks</w:t>
      </w:r>
      <w:r>
        <w:t xml:space="preserve"> and </w:t>
      </w:r>
      <w:r w:rsidR="002929D2">
        <w:t xml:space="preserve">its </w:t>
      </w:r>
      <w:r>
        <w:t xml:space="preserve">designation as a center of excellence in </w:t>
      </w:r>
      <w:r w:rsidR="002929D2">
        <w:t xml:space="preserve">developmental </w:t>
      </w:r>
      <w:r>
        <w:t xml:space="preserve">disability </w:t>
      </w:r>
      <w:r w:rsidR="002929D2">
        <w:t>education (UCEDD)</w:t>
      </w:r>
      <w:r>
        <w:t xml:space="preserve">. Therefore, results and findings should be considered a ‘best case scenario’ </w:t>
      </w:r>
      <w:r w:rsidR="00413D89">
        <w:t xml:space="preserve">in emergency preparedness for people with disabilities or other access and functional needs. Nonetheless, a similar survey instrument specifically targeted toward people with disabilities or other access and functional needs living in rural areas may yield different results and should be considered for future attempts to understand emergency preparedness among this population. </w:t>
      </w:r>
    </w:p>
    <w:p w14:paraId="5EBC1D8A" w14:textId="4A1D0B39" w:rsidR="008A170D" w:rsidRDefault="008A170D" w:rsidP="000A73D9">
      <w:r>
        <w:t>While it would have been more difficult to score (and perhaps more difficult for some respondents to answer</w:t>
      </w:r>
      <w:r w:rsidR="002A1617">
        <w:t>)</w:t>
      </w:r>
      <w:r>
        <w:t xml:space="preserve">, instead of asking whether </w:t>
      </w:r>
      <w:r w:rsidR="00923A15">
        <w:t xml:space="preserve">the meaning of various emergency-related terms, e.g., disaster, shelter-in-place, etc., </w:t>
      </w:r>
      <w:r>
        <w:t xml:space="preserve">was known, asking </w:t>
      </w:r>
      <w:r w:rsidR="00923A15">
        <w:t xml:space="preserve">respondents to write in the definitions of each term </w:t>
      </w:r>
      <w:r>
        <w:t>would be a more accurate measu</w:t>
      </w:r>
      <w:r w:rsidR="002A1617">
        <w:t>r</w:t>
      </w:r>
      <w:r>
        <w:t xml:space="preserve">e of </w:t>
      </w:r>
      <w:r w:rsidR="00923A15">
        <w:t xml:space="preserve">whether they </w:t>
      </w:r>
      <w:r w:rsidR="00A1357A">
        <w:t>correctly</w:t>
      </w:r>
      <w:r w:rsidR="00923A15">
        <w:t xml:space="preserve"> underst</w:t>
      </w:r>
      <w:r>
        <w:t>and these terms.</w:t>
      </w:r>
      <w:r w:rsidR="00A1357A">
        <w:t xml:space="preserve"> </w:t>
      </w:r>
      <w:r w:rsidR="00923A15">
        <w:t xml:space="preserve">It may also be useful to </w:t>
      </w:r>
      <w:r>
        <w:t>break apart the item regarding contact to</w:t>
      </w:r>
      <w:r w:rsidR="002A1617">
        <w:t xml:space="preserve"> </w:t>
      </w:r>
      <w:r w:rsidR="00923A15">
        <w:t>local fire or police departments</w:t>
      </w:r>
      <w:r w:rsidR="002A1617">
        <w:t xml:space="preserve"> </w:t>
      </w:r>
      <w:r w:rsidR="00923A15">
        <w:t>or local power compan</w:t>
      </w:r>
      <w:r w:rsidR="002A1617">
        <w:t>ies</w:t>
      </w:r>
      <w:r>
        <w:t>, as these authorities have separate responsibilities and roles depend on the type of emergency or disaster.</w:t>
      </w:r>
    </w:p>
    <w:p w14:paraId="63DE46DF" w14:textId="558DCA48" w:rsidR="002929D2" w:rsidRDefault="002929D2">
      <w:r>
        <w:t>It may be important for stakeholders involved in emergency planning to u</w:t>
      </w:r>
      <w:r w:rsidR="00025609">
        <w:t>nderstand the impact of the frequency of their trainings as it relates to response delivery in the event of an emergency or disaster situation. Researchers or personnel within organizations dedicated to serving people with access and functional needs, especially those with disabilities in emergency or disaster situations may be interested in studying the correlation of the number of annual disability-specific trainings and the effectiveness of response during exercises, drills, and/or actual response.</w:t>
      </w:r>
    </w:p>
    <w:p w14:paraId="6C3149AE" w14:textId="0356AD68" w:rsidR="00413D89" w:rsidRDefault="007B5FA9">
      <w:pPr>
        <w:rPr>
          <w:rFonts w:asciiTheme="majorHAnsi" w:eastAsiaTheme="majorEastAsia" w:hAnsiTheme="majorHAnsi" w:cstheme="majorBidi"/>
          <w:b/>
          <w:sz w:val="32"/>
          <w:szCs w:val="32"/>
        </w:rPr>
      </w:pPr>
      <w:r>
        <w:t xml:space="preserve">Although the sample of respondents was limited </w:t>
      </w:r>
      <w:r w:rsidR="009D0C24">
        <w:t xml:space="preserve">predominantly </w:t>
      </w:r>
      <w:r>
        <w:t>to urban centers</w:t>
      </w:r>
      <w:r w:rsidR="007957A1">
        <w:t>, and over one third of respondents (largely from the advocate/caregiver/other respondent category) did not complete the majority of survey items, r</w:t>
      </w:r>
      <w:r>
        <w:t>esults from the survey indicate that efforts</w:t>
      </w:r>
      <w:r w:rsidR="00911C11">
        <w:t xml:space="preserve"> need to be made</w:t>
      </w:r>
      <w:r>
        <w:t xml:space="preserve"> to ensure people with </w:t>
      </w:r>
      <w:r w:rsidR="009D0C24">
        <w:t xml:space="preserve">disabilities and other </w:t>
      </w:r>
      <w:r>
        <w:t xml:space="preserve">access and functional needs </w:t>
      </w:r>
      <w:r w:rsidR="007957A1">
        <w:t>have</w:t>
      </w:r>
      <w:r w:rsidR="00911C11">
        <w:t xml:space="preserve"> personal preparedness </w:t>
      </w:r>
      <w:r w:rsidR="006A4FC5">
        <w:t xml:space="preserve"> plans</w:t>
      </w:r>
      <w:r w:rsidR="00911C11">
        <w:t xml:space="preserve">, and that county and </w:t>
      </w:r>
      <w:r w:rsidR="006A4FC5">
        <w:t xml:space="preserve">local </w:t>
      </w:r>
      <w:r w:rsidR="00F2387D">
        <w:t>emergency planners</w:t>
      </w:r>
      <w:r w:rsidR="00911C11">
        <w:t xml:space="preserve"> utilize multiple sources of information regarding the needs of people with disabilities and access and functional needs in their communities</w:t>
      </w:r>
      <w:r w:rsidR="00F2387D">
        <w:t>.</w:t>
      </w:r>
      <w:r w:rsidR="00413D89">
        <w:br w:type="page"/>
      </w:r>
    </w:p>
    <w:p w14:paraId="56E41237" w14:textId="42EC8D3B" w:rsidR="00D930FD" w:rsidRDefault="00D930FD" w:rsidP="003F428E">
      <w:pPr>
        <w:pStyle w:val="Heading1"/>
      </w:pPr>
      <w:bookmarkStart w:id="12" w:name="_Toc461612413"/>
      <w:r>
        <w:t>References</w:t>
      </w:r>
      <w:bookmarkEnd w:id="12"/>
    </w:p>
    <w:p w14:paraId="6859908A" w14:textId="015FCA55" w:rsidR="00805AB1" w:rsidRDefault="00805AB1" w:rsidP="00805AB1">
      <w:pPr>
        <w:ind w:left="720" w:hanging="720"/>
      </w:pPr>
      <w:r>
        <w:t>American National Red Cross</w:t>
      </w:r>
      <w:r w:rsidR="00985047">
        <w:t>.</w:t>
      </w:r>
      <w:r>
        <w:t xml:space="preserve"> </w:t>
      </w:r>
      <w:r w:rsidR="00985047">
        <w:t>(</w:t>
      </w:r>
      <w:r>
        <w:t>2016</w:t>
      </w:r>
      <w:r w:rsidR="00985047">
        <w:t>)</w:t>
      </w:r>
      <w:r>
        <w:t xml:space="preserve">. </w:t>
      </w:r>
      <w:r>
        <w:rPr>
          <w:i/>
        </w:rPr>
        <w:t xml:space="preserve">Prepare for Emergencies, Be Red Cross Ready, Red Cross. </w:t>
      </w:r>
      <w:r>
        <w:t xml:space="preserve">Retrieved from </w:t>
      </w:r>
      <w:hyperlink r:id="rId27" w:history="1">
        <w:r w:rsidRPr="00A93B1F">
          <w:rPr>
            <w:rStyle w:val="Hyperlink"/>
          </w:rPr>
          <w:t>http://www.redcross.org/get-help/prepare-for-emergencies/be-red-cross-ready</w:t>
        </w:r>
      </w:hyperlink>
    </w:p>
    <w:p w14:paraId="26D9EE8D" w14:textId="3299F977" w:rsidR="00D3270C" w:rsidRDefault="00D3270C" w:rsidP="003F428E">
      <w:pPr>
        <w:ind w:left="720" w:hanging="720"/>
      </w:pPr>
      <w:r w:rsidRPr="00D3270C">
        <w:t xml:space="preserve">American Psychiatric Association. (2013). </w:t>
      </w:r>
      <w:proofErr w:type="gramStart"/>
      <w:r w:rsidRPr="00D3270C">
        <w:t>Diagnostic</w:t>
      </w:r>
      <w:proofErr w:type="gramEnd"/>
      <w:r w:rsidRPr="00D3270C">
        <w:t xml:space="preserve"> and statistical manual of mental disorders: </w:t>
      </w:r>
      <w:r w:rsidRPr="00805AB1">
        <w:rPr>
          <w:bCs/>
        </w:rPr>
        <w:t>DSM</w:t>
      </w:r>
      <w:r w:rsidRPr="00D3270C">
        <w:t>-</w:t>
      </w:r>
      <w:r w:rsidRPr="00805AB1">
        <w:rPr>
          <w:bCs/>
        </w:rPr>
        <w:t>5</w:t>
      </w:r>
      <w:r w:rsidRPr="00D3270C">
        <w:t>. Washington, D.C: American Psychiatric Association.</w:t>
      </w:r>
    </w:p>
    <w:p w14:paraId="317A9038" w14:textId="52E1E2D7" w:rsidR="005419F2" w:rsidRDefault="005419F2" w:rsidP="003F428E">
      <w:pPr>
        <w:ind w:left="720" w:hanging="720"/>
      </w:pPr>
      <w:r>
        <w:t>Center for Rural Pennsylvania</w:t>
      </w:r>
      <w:r w:rsidR="00985047">
        <w:t>.</w:t>
      </w:r>
      <w:r>
        <w:t xml:space="preserve"> </w:t>
      </w:r>
      <w:r w:rsidR="00985047">
        <w:t>(</w:t>
      </w:r>
      <w:r>
        <w:t>2014</w:t>
      </w:r>
      <w:r w:rsidR="00985047">
        <w:t>)</w:t>
      </w:r>
      <w:r>
        <w:t xml:space="preserve">. </w:t>
      </w:r>
      <w:r w:rsidR="001C0D75">
        <w:rPr>
          <w:i/>
        </w:rPr>
        <w:t xml:space="preserve">Rural Urban Definitions – The Center for Rural PA. </w:t>
      </w:r>
      <w:r>
        <w:t xml:space="preserve">Retrieved from </w:t>
      </w:r>
      <w:hyperlink r:id="rId28" w:history="1">
        <w:r w:rsidR="00E53610" w:rsidRPr="00A93B1F">
          <w:rPr>
            <w:rStyle w:val="Hyperlink"/>
          </w:rPr>
          <w:t>http://www.rural.palegislature.us/demographics_rural_urban.html</w:t>
        </w:r>
      </w:hyperlink>
    </w:p>
    <w:p w14:paraId="3B957A0E" w14:textId="3EC82248" w:rsidR="00E53610" w:rsidRDefault="00E53610" w:rsidP="003F428E">
      <w:pPr>
        <w:ind w:left="720" w:hanging="720"/>
        <w:rPr>
          <w:rStyle w:val="Hyperlink"/>
        </w:rPr>
      </w:pPr>
      <w:r>
        <w:t>Centers for Disease Control and Prevention, National Center for Chronic Disease Prevention and Health Promotion, Division of Population Health</w:t>
      </w:r>
      <w:r w:rsidR="00985047">
        <w:t>.</w:t>
      </w:r>
      <w:r>
        <w:t xml:space="preserve"> </w:t>
      </w:r>
      <w:r w:rsidR="00985047">
        <w:t>(</w:t>
      </w:r>
      <w:r>
        <w:t>2016</w:t>
      </w:r>
      <w:r w:rsidR="00985047">
        <w:t>)</w:t>
      </w:r>
      <w:r>
        <w:t xml:space="preserve">. </w:t>
      </w:r>
      <w:r>
        <w:rPr>
          <w:i/>
        </w:rPr>
        <w:t>CDC – BRFSS.</w:t>
      </w:r>
      <w:r>
        <w:t xml:space="preserve"> Retrieved from </w:t>
      </w:r>
      <w:hyperlink r:id="rId29" w:history="1">
        <w:r w:rsidRPr="00A93B1F">
          <w:rPr>
            <w:rStyle w:val="Hyperlink"/>
          </w:rPr>
          <w:t>http://www.cdc.gov/brfss/</w:t>
        </w:r>
      </w:hyperlink>
    </w:p>
    <w:p w14:paraId="0F527B2A" w14:textId="1E3EB87B" w:rsidR="00350D8A" w:rsidRDefault="00350D8A" w:rsidP="003F428E">
      <w:pPr>
        <w:ind w:left="720" w:hanging="720"/>
      </w:pPr>
      <w:r w:rsidRPr="00350D8A">
        <w:t xml:space="preserve">Department of Justice (DOJ). 2014. “Effective Communication.” </w:t>
      </w:r>
      <w:r>
        <w:t xml:space="preserve">Retrieved from </w:t>
      </w:r>
      <w:hyperlink r:id="rId30" w:history="1">
        <w:r w:rsidRPr="00B45C91">
          <w:rPr>
            <w:rStyle w:val="Hyperlink"/>
          </w:rPr>
          <w:t>http://www.ada.gov/effective-comm.htm</w:t>
        </w:r>
      </w:hyperlink>
      <w:r>
        <w:t xml:space="preserve"> </w:t>
      </w:r>
    </w:p>
    <w:p w14:paraId="6F179119" w14:textId="1ED7F0BC" w:rsidR="00805AB1" w:rsidRDefault="00805AB1" w:rsidP="00805AB1">
      <w:pPr>
        <w:ind w:left="720" w:hanging="720"/>
      </w:pPr>
      <w:r>
        <w:t>Federal Emergency Management Agency</w:t>
      </w:r>
      <w:r w:rsidR="00985047">
        <w:t>.</w:t>
      </w:r>
      <w:r>
        <w:t xml:space="preserve"> </w:t>
      </w:r>
      <w:r w:rsidR="00985047">
        <w:t>(</w:t>
      </w:r>
      <w:r>
        <w:t>2015</w:t>
      </w:r>
      <w:r w:rsidR="00985047">
        <w:t>)</w:t>
      </w:r>
      <w:r>
        <w:t xml:space="preserve">. </w:t>
      </w:r>
      <w:r>
        <w:rPr>
          <w:i/>
        </w:rPr>
        <w:t xml:space="preserve">Prepare for Emergencies Now: Information for People with Disabilities. </w:t>
      </w:r>
      <w:r>
        <w:t xml:space="preserve">Retrieved from </w:t>
      </w:r>
      <w:hyperlink r:id="rId31" w:history="1">
        <w:r w:rsidRPr="00A93B1F">
          <w:rPr>
            <w:rStyle w:val="Hyperlink"/>
          </w:rPr>
          <w:t>http://www.fema.gov/media-library/assets/documents/90360</w:t>
        </w:r>
      </w:hyperlink>
    </w:p>
    <w:p w14:paraId="1CC4796C" w14:textId="5D3B2833" w:rsidR="00F322D2" w:rsidRDefault="00F322D2" w:rsidP="003F428E">
      <w:pPr>
        <w:ind w:left="720" w:hanging="720"/>
        <w:rPr>
          <w:rStyle w:val="Hyperlink"/>
        </w:rPr>
      </w:pPr>
      <w:r>
        <w:t>Federal Emergency Management Agency</w:t>
      </w:r>
      <w:r w:rsidR="00985047">
        <w:t>.</w:t>
      </w:r>
      <w:r>
        <w:t xml:space="preserve"> </w:t>
      </w:r>
      <w:r w:rsidR="00985047">
        <w:t>(</w:t>
      </w:r>
      <w:r>
        <w:t>2016</w:t>
      </w:r>
      <w:r w:rsidR="00985047">
        <w:t>)</w:t>
      </w:r>
      <w:r>
        <w:t xml:space="preserve">. </w:t>
      </w:r>
      <w:r>
        <w:rPr>
          <w:i/>
        </w:rPr>
        <w:t>Individuals with Disabilities and Others with Access and Functional Needs.</w:t>
      </w:r>
      <w:r>
        <w:t xml:space="preserve"> Retrieved from </w:t>
      </w:r>
      <w:hyperlink r:id="rId32" w:history="1">
        <w:r w:rsidR="00E53610" w:rsidRPr="00413D89">
          <w:rPr>
            <w:rStyle w:val="Hyperlink"/>
          </w:rPr>
          <w:t>https://www.ready.gov/individuals-access-functional-needs</w:t>
        </w:r>
      </w:hyperlink>
    </w:p>
    <w:p w14:paraId="03FFE16E" w14:textId="17641BFB" w:rsidR="00AE08B5" w:rsidRDefault="00AE08B5" w:rsidP="005F71CD">
      <w:pPr>
        <w:ind w:left="720" w:hanging="720"/>
      </w:pPr>
      <w:r w:rsidRPr="00AE08B5">
        <w:t>In</w:t>
      </w:r>
      <w:r>
        <w:t>stitute on Disabilities</w:t>
      </w:r>
      <w:r w:rsidR="005F71CD">
        <w:t>, Temple University</w:t>
      </w:r>
      <w:r>
        <w:t xml:space="preserve">. (2016). </w:t>
      </w:r>
      <w:r w:rsidR="005F71CD">
        <w:t xml:space="preserve">Programs with Advocacy and Self-Advocacy Focus: Emergency Preparedness. Retrieved from </w:t>
      </w:r>
      <w:hyperlink r:id="rId33" w:history="1">
        <w:r w:rsidR="005F71CD" w:rsidRPr="00B45C91">
          <w:rPr>
            <w:rStyle w:val="Hyperlink"/>
          </w:rPr>
          <w:t>http://disabilities.temple.edu/programs/eprep/</w:t>
        </w:r>
      </w:hyperlink>
      <w:r w:rsidR="005F71CD">
        <w:t xml:space="preserve"> </w:t>
      </w:r>
    </w:p>
    <w:p w14:paraId="4C51E91D" w14:textId="6C01AD59" w:rsidR="005F71CD" w:rsidRPr="00AE08B5" w:rsidRDefault="005F71CD" w:rsidP="005F71CD">
      <w:pPr>
        <w:ind w:left="720" w:hanging="720"/>
      </w:pPr>
      <w:r>
        <w:t>Institute on Disabilities, Temple University. (</w:t>
      </w:r>
      <w:proofErr w:type="gramStart"/>
      <w:r>
        <w:t>in</w:t>
      </w:r>
      <w:proofErr w:type="gramEnd"/>
      <w:r>
        <w:t xml:space="preserve"> press). Durable Medical Equipment (DME) and Assistive Technology (AT) Planning Guide for Emergency Planners and Stakeholders. Available upon request.</w:t>
      </w:r>
    </w:p>
    <w:p w14:paraId="2FC7F9F1" w14:textId="303DE548" w:rsidR="006A4B89" w:rsidRPr="006A4B89" w:rsidRDefault="006A4B89" w:rsidP="006A4B89">
      <w:pPr>
        <w:ind w:left="720" w:hanging="720"/>
        <w:rPr>
          <w:rStyle w:val="Hyperlink"/>
          <w:color w:val="auto"/>
          <w:u w:val="none"/>
        </w:rPr>
      </w:pPr>
      <w:r w:rsidRPr="006A4B89">
        <w:rPr>
          <w:rStyle w:val="Hyperlink"/>
          <w:color w:val="auto"/>
          <w:u w:val="none"/>
        </w:rPr>
        <w:t xml:space="preserve">McEwen, B. S., and </w:t>
      </w:r>
      <w:proofErr w:type="spellStart"/>
      <w:r w:rsidRPr="006A4B89">
        <w:rPr>
          <w:rStyle w:val="Hyperlink"/>
          <w:color w:val="auto"/>
          <w:u w:val="none"/>
        </w:rPr>
        <w:t>Sapolsky</w:t>
      </w:r>
      <w:proofErr w:type="spellEnd"/>
      <w:r w:rsidRPr="006A4B89">
        <w:rPr>
          <w:rStyle w:val="Hyperlink"/>
          <w:color w:val="auto"/>
          <w:u w:val="none"/>
        </w:rPr>
        <w:t xml:space="preserve">, R. M. (1995). Stress and Cognitive Function. </w:t>
      </w:r>
      <w:r w:rsidRPr="006A4B89">
        <w:rPr>
          <w:rStyle w:val="Hyperlink"/>
          <w:i/>
          <w:color w:val="auto"/>
          <w:u w:val="none"/>
        </w:rPr>
        <w:t>Current Opinion in Neurobiology, 5</w:t>
      </w:r>
      <w:r w:rsidRPr="006A4B89">
        <w:rPr>
          <w:rStyle w:val="Hyperlink"/>
          <w:color w:val="auto"/>
          <w:u w:val="none"/>
        </w:rPr>
        <w:t>(2), 205-216.</w:t>
      </w:r>
    </w:p>
    <w:p w14:paraId="71796518" w14:textId="20566F13" w:rsidR="00C62EBB" w:rsidRDefault="00C62EBB">
      <w:pPr>
        <w:ind w:left="720" w:hanging="720"/>
      </w:pPr>
      <w:r>
        <w:t xml:space="preserve">National Council on Disability (2014). </w:t>
      </w:r>
      <w:r>
        <w:rPr>
          <w:i/>
        </w:rPr>
        <w:t>Effective Communications for People with Disabilities: Before, During, and After Emergencies.</w:t>
      </w:r>
      <w:r>
        <w:t xml:space="preserve"> </w:t>
      </w:r>
      <w:r w:rsidR="00985047">
        <w:t xml:space="preserve">Retrieved from </w:t>
      </w:r>
      <w:hyperlink r:id="rId34" w:history="1">
        <w:r w:rsidR="00985047" w:rsidRPr="00E63688">
          <w:rPr>
            <w:rStyle w:val="Hyperlink"/>
          </w:rPr>
          <w:t>http://www.ncd.gov/publications/2014/05272014/</w:t>
        </w:r>
      </w:hyperlink>
    </w:p>
    <w:p w14:paraId="7C90A467" w14:textId="41820671" w:rsidR="007967E0" w:rsidRDefault="007967E0" w:rsidP="003F428E">
      <w:pPr>
        <w:ind w:left="720" w:hanging="720"/>
      </w:pPr>
      <w:r>
        <w:t>Office of the Assistant Secretary for Preparedness and Response, U.S. Department of Health and Human Services</w:t>
      </w:r>
      <w:r w:rsidR="00985047">
        <w:t>. (</w:t>
      </w:r>
      <w:r>
        <w:t>2016</w:t>
      </w:r>
      <w:r w:rsidR="00985047">
        <w:t>)</w:t>
      </w:r>
      <w:r>
        <w:t xml:space="preserve">. </w:t>
      </w:r>
      <w:r w:rsidR="00087836">
        <w:rPr>
          <w:i/>
        </w:rPr>
        <w:t>At-Risk Individuals – Public Health Emergency.</w:t>
      </w:r>
      <w:r w:rsidR="00087836">
        <w:t xml:space="preserve"> Retrieved from </w:t>
      </w:r>
      <w:hyperlink r:id="rId35" w:history="1">
        <w:r w:rsidR="00E53610" w:rsidRPr="00413D89">
          <w:rPr>
            <w:rStyle w:val="Hyperlink"/>
          </w:rPr>
          <w:t>http://www.phe.gov/Preparedness/planning/abc/Pages/atrisk.aspx</w:t>
        </w:r>
      </w:hyperlink>
    </w:p>
    <w:p w14:paraId="39B4F69E" w14:textId="343DF5B1" w:rsidR="00413D89" w:rsidRDefault="00D83897" w:rsidP="00805AB1">
      <w:pPr>
        <w:ind w:left="720" w:hanging="720"/>
        <w:rPr>
          <w:rFonts w:asciiTheme="majorHAnsi" w:eastAsiaTheme="majorEastAsia" w:hAnsiTheme="majorHAnsi" w:cstheme="majorBidi"/>
          <w:b/>
          <w:sz w:val="32"/>
          <w:szCs w:val="32"/>
        </w:rPr>
      </w:pPr>
      <w:r>
        <w:t>Office of the Assistant Secretary for Preparedness and Response, U.S. Department of Health and Human Services</w:t>
      </w:r>
      <w:r w:rsidR="00985047">
        <w:t>.</w:t>
      </w:r>
      <w:r>
        <w:t xml:space="preserve"> </w:t>
      </w:r>
      <w:r w:rsidR="00985047">
        <w:t>(</w:t>
      </w:r>
      <w:r>
        <w:t>2016</w:t>
      </w:r>
      <w:r w:rsidR="00985047">
        <w:t>)</w:t>
      </w:r>
      <w:r>
        <w:t xml:space="preserve">. </w:t>
      </w:r>
      <w:r>
        <w:rPr>
          <w:i/>
        </w:rPr>
        <w:t xml:space="preserve">HHS </w:t>
      </w:r>
      <w:proofErr w:type="spellStart"/>
      <w:r>
        <w:rPr>
          <w:i/>
        </w:rPr>
        <w:t>emPOWER</w:t>
      </w:r>
      <w:proofErr w:type="spellEnd"/>
      <w:r>
        <w:rPr>
          <w:i/>
        </w:rPr>
        <w:t xml:space="preserve"> Map. </w:t>
      </w:r>
      <w:r>
        <w:t xml:space="preserve">Retrieved from </w:t>
      </w:r>
      <w:hyperlink r:id="rId36" w:history="1">
        <w:r w:rsidR="00E53610" w:rsidRPr="00A93B1F">
          <w:rPr>
            <w:rStyle w:val="Hyperlink"/>
          </w:rPr>
          <w:t>http://www.phe.gov/empowermap/Pages/default.aspx</w:t>
        </w:r>
      </w:hyperlink>
      <w:r w:rsidR="00413D89">
        <w:br w:type="page"/>
      </w:r>
    </w:p>
    <w:p w14:paraId="3FB08391" w14:textId="416CF7C3" w:rsidR="00D64C38" w:rsidRPr="00D64C38" w:rsidRDefault="00C42E1D" w:rsidP="003F428E">
      <w:pPr>
        <w:pStyle w:val="Heading1"/>
      </w:pPr>
      <w:bookmarkStart w:id="13" w:name="_Appendix_A"/>
      <w:bookmarkStart w:id="14" w:name="_Toc461612414"/>
      <w:bookmarkEnd w:id="13"/>
      <w:r>
        <w:t>Appendix A</w:t>
      </w:r>
      <w:bookmarkEnd w:id="14"/>
    </w:p>
    <w:p w14:paraId="32AEF973" w14:textId="2D96596A" w:rsidR="00D64C38" w:rsidRDefault="006C604C" w:rsidP="00D64C38">
      <w:pPr>
        <w:pStyle w:val="Caption"/>
        <w:keepNext/>
        <w:jc w:val="center"/>
      </w:pPr>
      <w:hyperlink w:anchor="Figure_4_PWD_Respondents_by_PA_County" w:history="1">
        <w:proofErr w:type="gramStart"/>
        <w:r w:rsidR="00D64C38" w:rsidRPr="00455F27">
          <w:rPr>
            <w:rStyle w:val="Hyperlink"/>
          </w:rPr>
          <w:t xml:space="preserve">Table </w:t>
        </w:r>
        <w:proofErr w:type="gramEnd"/>
        <w:r w:rsidR="009B6532">
          <w:rPr>
            <w:rStyle w:val="Hyperlink"/>
          </w:rPr>
          <w:fldChar w:fldCharType="begin"/>
        </w:r>
        <w:r w:rsidR="009B6532">
          <w:rPr>
            <w:rStyle w:val="Hyperlink"/>
          </w:rPr>
          <w:instrText xml:space="preserve"> SEQ Table \* ARABIC </w:instrText>
        </w:r>
        <w:r w:rsidR="009B6532">
          <w:rPr>
            <w:rStyle w:val="Hyperlink"/>
          </w:rPr>
          <w:fldChar w:fldCharType="separate"/>
        </w:r>
        <w:r w:rsidR="00BD618B">
          <w:rPr>
            <w:rStyle w:val="Hyperlink"/>
            <w:noProof/>
          </w:rPr>
          <w:t>5</w:t>
        </w:r>
        <w:r w:rsidR="009B6532">
          <w:rPr>
            <w:rStyle w:val="Hyperlink"/>
          </w:rPr>
          <w:fldChar w:fldCharType="end"/>
        </w:r>
      </w:hyperlink>
      <w:r w:rsidR="002A1617" w:rsidRPr="002A1617">
        <w:rPr>
          <w:i w:val="0"/>
        </w:rPr>
        <w:t>.</w:t>
      </w:r>
      <w:r w:rsidR="00D64C38" w:rsidRPr="002A1617">
        <w:rPr>
          <w:i w:val="0"/>
        </w:rPr>
        <w:t xml:space="preserve"> </w:t>
      </w:r>
      <w:r w:rsidR="008A170D" w:rsidRPr="002A1617">
        <w:rPr>
          <w:i w:val="0"/>
        </w:rPr>
        <w:t>Percentage and Count of ACO Respondents by County</w:t>
      </w:r>
    </w:p>
    <w:tbl>
      <w:tblPr>
        <w:tblStyle w:val="TableGrid"/>
        <w:tblW w:w="0" w:type="auto"/>
        <w:jc w:val="center"/>
        <w:tblLook w:val="04A0" w:firstRow="1" w:lastRow="0" w:firstColumn="1" w:lastColumn="0" w:noHBand="0" w:noVBand="1"/>
        <w:tblCaption w:val="Table 5: Percentage and Count of PWD Respondents across Pennsylvania Counties"/>
        <w:tblDescription w:val="The table displays percentages and counts of PWD respondents across their counties of residence in Pennsylvania."/>
      </w:tblPr>
      <w:tblGrid>
        <w:gridCol w:w="4415"/>
        <w:gridCol w:w="1350"/>
        <w:gridCol w:w="1171"/>
      </w:tblGrid>
      <w:tr w:rsidR="00D64C38" w14:paraId="71E78AFE" w14:textId="77777777" w:rsidTr="00D64C38">
        <w:trPr>
          <w:tblHeader/>
          <w:jc w:val="center"/>
        </w:trPr>
        <w:tc>
          <w:tcPr>
            <w:tcW w:w="4415" w:type="dxa"/>
            <w:shd w:val="clear" w:color="auto" w:fill="000000" w:themeFill="text1"/>
            <w:vAlign w:val="center"/>
          </w:tcPr>
          <w:p w14:paraId="429E79F6" w14:textId="4A3C7F2E" w:rsidR="00D64C38" w:rsidRPr="00D64C38" w:rsidRDefault="00D64C38" w:rsidP="00D64C38">
            <w:pPr>
              <w:jc w:val="center"/>
              <w:rPr>
                <w:b/>
              </w:rPr>
            </w:pPr>
            <w:bookmarkStart w:id="15" w:name="Table_5_PWD_Respondents_by_PA_County"/>
            <w:r w:rsidRPr="00D64C38">
              <w:rPr>
                <w:b/>
              </w:rPr>
              <w:t>County</w:t>
            </w:r>
          </w:p>
        </w:tc>
        <w:tc>
          <w:tcPr>
            <w:tcW w:w="1350" w:type="dxa"/>
            <w:shd w:val="clear" w:color="auto" w:fill="000000" w:themeFill="text1"/>
            <w:vAlign w:val="center"/>
          </w:tcPr>
          <w:p w14:paraId="54B9BCFD" w14:textId="0DE7F256" w:rsidR="00D64C38" w:rsidRPr="00D64C38" w:rsidRDefault="00D64C38" w:rsidP="00D64C38">
            <w:pPr>
              <w:jc w:val="center"/>
              <w:rPr>
                <w:b/>
              </w:rPr>
            </w:pPr>
            <w:r w:rsidRPr="00D64C38">
              <w:rPr>
                <w:b/>
              </w:rPr>
              <w:t>Response Percentage</w:t>
            </w:r>
          </w:p>
        </w:tc>
        <w:tc>
          <w:tcPr>
            <w:tcW w:w="1171" w:type="dxa"/>
            <w:shd w:val="clear" w:color="auto" w:fill="000000" w:themeFill="text1"/>
            <w:vAlign w:val="center"/>
          </w:tcPr>
          <w:p w14:paraId="749421F4" w14:textId="164892EE" w:rsidR="00D64C38" w:rsidRPr="00D64C38" w:rsidRDefault="00D64C38" w:rsidP="00D64C38">
            <w:pPr>
              <w:jc w:val="center"/>
              <w:rPr>
                <w:b/>
              </w:rPr>
            </w:pPr>
            <w:r w:rsidRPr="00D64C38">
              <w:rPr>
                <w:b/>
              </w:rPr>
              <w:t>Response Count</w:t>
            </w:r>
          </w:p>
        </w:tc>
      </w:tr>
      <w:tr w:rsidR="00D64C38" w14:paraId="2523C61D" w14:textId="77777777" w:rsidTr="00D64C38">
        <w:trPr>
          <w:tblHeader/>
          <w:jc w:val="center"/>
        </w:trPr>
        <w:tc>
          <w:tcPr>
            <w:tcW w:w="4415" w:type="dxa"/>
          </w:tcPr>
          <w:p w14:paraId="5ACC2E21" w14:textId="62DF4CB0" w:rsidR="00D64C38" w:rsidRDefault="00D64C38" w:rsidP="00D64C38">
            <w:r w:rsidRPr="004E2878">
              <w:rPr>
                <w:noProof/>
              </w:rPr>
              <w:t>Allegheny</w:t>
            </w:r>
          </w:p>
        </w:tc>
        <w:tc>
          <w:tcPr>
            <w:tcW w:w="1350" w:type="dxa"/>
            <w:vAlign w:val="center"/>
          </w:tcPr>
          <w:p w14:paraId="66128B91" w14:textId="2693BD38" w:rsidR="00D64C38" w:rsidRDefault="00D64C38" w:rsidP="00D64C38">
            <w:pPr>
              <w:jc w:val="center"/>
            </w:pPr>
            <w:r w:rsidRPr="004E2878">
              <w:rPr>
                <w:noProof/>
              </w:rPr>
              <w:t>8.3%</w:t>
            </w:r>
          </w:p>
        </w:tc>
        <w:tc>
          <w:tcPr>
            <w:tcW w:w="1171" w:type="dxa"/>
            <w:vAlign w:val="center"/>
          </w:tcPr>
          <w:p w14:paraId="708122DF" w14:textId="2C043AE7" w:rsidR="00D64C38" w:rsidRDefault="00D64C38" w:rsidP="00D64C38">
            <w:pPr>
              <w:jc w:val="center"/>
            </w:pPr>
            <w:r w:rsidRPr="004E2878">
              <w:rPr>
                <w:noProof/>
              </w:rPr>
              <w:t>7</w:t>
            </w:r>
          </w:p>
        </w:tc>
      </w:tr>
      <w:tr w:rsidR="00D64C38" w14:paraId="1417DA3C" w14:textId="77777777" w:rsidTr="00D64C38">
        <w:trPr>
          <w:tblHeader/>
          <w:jc w:val="center"/>
        </w:trPr>
        <w:tc>
          <w:tcPr>
            <w:tcW w:w="4415" w:type="dxa"/>
          </w:tcPr>
          <w:p w14:paraId="68741F2C" w14:textId="2B8DE97C" w:rsidR="00D64C38" w:rsidRDefault="00D64C38" w:rsidP="00D64C38">
            <w:r w:rsidRPr="004E2878">
              <w:rPr>
                <w:noProof/>
              </w:rPr>
              <w:t>Beaver</w:t>
            </w:r>
          </w:p>
        </w:tc>
        <w:tc>
          <w:tcPr>
            <w:tcW w:w="1350" w:type="dxa"/>
            <w:vAlign w:val="center"/>
          </w:tcPr>
          <w:p w14:paraId="49DCD69E" w14:textId="0CCEC9E4" w:rsidR="00D64C38" w:rsidRDefault="00D64C38" w:rsidP="00D64C38">
            <w:pPr>
              <w:jc w:val="center"/>
            </w:pPr>
            <w:r w:rsidRPr="004E2878">
              <w:rPr>
                <w:noProof/>
              </w:rPr>
              <w:t>1.2%</w:t>
            </w:r>
          </w:p>
        </w:tc>
        <w:tc>
          <w:tcPr>
            <w:tcW w:w="1171" w:type="dxa"/>
            <w:vAlign w:val="center"/>
          </w:tcPr>
          <w:p w14:paraId="38223A00" w14:textId="3954747A" w:rsidR="00D64C38" w:rsidRDefault="00D64C38" w:rsidP="00D64C38">
            <w:pPr>
              <w:jc w:val="center"/>
            </w:pPr>
            <w:r w:rsidRPr="004E2878">
              <w:rPr>
                <w:noProof/>
              </w:rPr>
              <w:t>1</w:t>
            </w:r>
          </w:p>
        </w:tc>
      </w:tr>
      <w:tr w:rsidR="00D64C38" w14:paraId="207F6641" w14:textId="77777777" w:rsidTr="00D64C38">
        <w:trPr>
          <w:tblHeader/>
          <w:jc w:val="center"/>
        </w:trPr>
        <w:tc>
          <w:tcPr>
            <w:tcW w:w="4415" w:type="dxa"/>
          </w:tcPr>
          <w:p w14:paraId="721BE72B" w14:textId="7E4302F3" w:rsidR="00D64C38" w:rsidRDefault="00D64C38" w:rsidP="00D64C38">
            <w:r w:rsidRPr="004E2878">
              <w:rPr>
                <w:noProof/>
              </w:rPr>
              <w:t>Berks</w:t>
            </w:r>
          </w:p>
        </w:tc>
        <w:tc>
          <w:tcPr>
            <w:tcW w:w="1350" w:type="dxa"/>
            <w:vAlign w:val="center"/>
          </w:tcPr>
          <w:p w14:paraId="33803F61" w14:textId="7423DA4F" w:rsidR="00D64C38" w:rsidRDefault="00D64C38" w:rsidP="00D64C38">
            <w:pPr>
              <w:jc w:val="center"/>
            </w:pPr>
            <w:r w:rsidRPr="004E2878">
              <w:rPr>
                <w:noProof/>
              </w:rPr>
              <w:t>1.2%</w:t>
            </w:r>
          </w:p>
        </w:tc>
        <w:tc>
          <w:tcPr>
            <w:tcW w:w="1171" w:type="dxa"/>
            <w:vAlign w:val="center"/>
          </w:tcPr>
          <w:p w14:paraId="5A0C2F4C" w14:textId="78054DE0" w:rsidR="00D64C38" w:rsidRDefault="00D64C38" w:rsidP="00D64C38">
            <w:pPr>
              <w:jc w:val="center"/>
            </w:pPr>
            <w:r w:rsidRPr="004E2878">
              <w:rPr>
                <w:noProof/>
              </w:rPr>
              <w:t>1</w:t>
            </w:r>
          </w:p>
        </w:tc>
      </w:tr>
      <w:tr w:rsidR="00D64C38" w14:paraId="7A581209" w14:textId="77777777" w:rsidTr="00D64C38">
        <w:trPr>
          <w:tblHeader/>
          <w:jc w:val="center"/>
        </w:trPr>
        <w:tc>
          <w:tcPr>
            <w:tcW w:w="4415" w:type="dxa"/>
          </w:tcPr>
          <w:p w14:paraId="528297D1" w14:textId="6BD51A5D" w:rsidR="00D64C38" w:rsidRDefault="00D64C38" w:rsidP="00D64C38">
            <w:r w:rsidRPr="004E2878">
              <w:rPr>
                <w:noProof/>
              </w:rPr>
              <w:t>Bucks</w:t>
            </w:r>
          </w:p>
        </w:tc>
        <w:tc>
          <w:tcPr>
            <w:tcW w:w="1350" w:type="dxa"/>
            <w:vAlign w:val="center"/>
          </w:tcPr>
          <w:p w14:paraId="7706FC59" w14:textId="1E7B0887" w:rsidR="00D64C38" w:rsidRDefault="00D64C38" w:rsidP="00D64C38">
            <w:pPr>
              <w:jc w:val="center"/>
            </w:pPr>
            <w:r w:rsidRPr="004E2878">
              <w:rPr>
                <w:noProof/>
              </w:rPr>
              <w:t>10.7%</w:t>
            </w:r>
          </w:p>
        </w:tc>
        <w:tc>
          <w:tcPr>
            <w:tcW w:w="1171" w:type="dxa"/>
            <w:vAlign w:val="center"/>
          </w:tcPr>
          <w:p w14:paraId="620BD0D9" w14:textId="7E89773E" w:rsidR="00D64C38" w:rsidRDefault="00D64C38" w:rsidP="00D64C38">
            <w:pPr>
              <w:jc w:val="center"/>
            </w:pPr>
            <w:r w:rsidRPr="004E2878">
              <w:rPr>
                <w:noProof/>
              </w:rPr>
              <w:t>9</w:t>
            </w:r>
          </w:p>
        </w:tc>
      </w:tr>
      <w:tr w:rsidR="00D64C38" w14:paraId="43BF4711" w14:textId="77777777" w:rsidTr="00D64C38">
        <w:trPr>
          <w:tblHeader/>
          <w:jc w:val="center"/>
        </w:trPr>
        <w:tc>
          <w:tcPr>
            <w:tcW w:w="4415" w:type="dxa"/>
          </w:tcPr>
          <w:p w14:paraId="1FB8D11E" w14:textId="696145D0" w:rsidR="00D64C38" w:rsidRDefault="00D64C38" w:rsidP="00D64C38">
            <w:r w:rsidRPr="004E2878">
              <w:rPr>
                <w:noProof/>
              </w:rPr>
              <w:t>Butler</w:t>
            </w:r>
          </w:p>
        </w:tc>
        <w:tc>
          <w:tcPr>
            <w:tcW w:w="1350" w:type="dxa"/>
            <w:vAlign w:val="center"/>
          </w:tcPr>
          <w:p w14:paraId="103B2A78" w14:textId="7102F862" w:rsidR="00D64C38" w:rsidRDefault="00D64C38" w:rsidP="00D64C38">
            <w:pPr>
              <w:jc w:val="center"/>
            </w:pPr>
            <w:r w:rsidRPr="004E2878">
              <w:rPr>
                <w:noProof/>
              </w:rPr>
              <w:t>1.2%</w:t>
            </w:r>
          </w:p>
        </w:tc>
        <w:tc>
          <w:tcPr>
            <w:tcW w:w="1171" w:type="dxa"/>
            <w:vAlign w:val="center"/>
          </w:tcPr>
          <w:p w14:paraId="48D8E468" w14:textId="7AB082E0" w:rsidR="00D64C38" w:rsidRDefault="00D64C38" w:rsidP="00D64C38">
            <w:pPr>
              <w:jc w:val="center"/>
            </w:pPr>
            <w:r w:rsidRPr="004E2878">
              <w:rPr>
                <w:noProof/>
              </w:rPr>
              <w:t>1</w:t>
            </w:r>
          </w:p>
        </w:tc>
      </w:tr>
      <w:tr w:rsidR="00D64C38" w14:paraId="3FF62F7B" w14:textId="77777777" w:rsidTr="00D64C38">
        <w:trPr>
          <w:tblHeader/>
          <w:jc w:val="center"/>
        </w:trPr>
        <w:tc>
          <w:tcPr>
            <w:tcW w:w="4415" w:type="dxa"/>
          </w:tcPr>
          <w:p w14:paraId="1C16367D" w14:textId="53C02948" w:rsidR="00D64C38" w:rsidRDefault="00D64C38" w:rsidP="00D64C38">
            <w:r w:rsidRPr="004E2878">
              <w:rPr>
                <w:noProof/>
              </w:rPr>
              <w:t>Chester</w:t>
            </w:r>
          </w:p>
        </w:tc>
        <w:tc>
          <w:tcPr>
            <w:tcW w:w="1350" w:type="dxa"/>
            <w:vAlign w:val="center"/>
          </w:tcPr>
          <w:p w14:paraId="1B350EB0" w14:textId="19FFC389" w:rsidR="00D64C38" w:rsidRDefault="00D64C38" w:rsidP="00D64C38">
            <w:pPr>
              <w:jc w:val="center"/>
            </w:pPr>
            <w:r w:rsidRPr="004E2878">
              <w:rPr>
                <w:noProof/>
              </w:rPr>
              <w:t>3.6%</w:t>
            </w:r>
          </w:p>
        </w:tc>
        <w:tc>
          <w:tcPr>
            <w:tcW w:w="1171" w:type="dxa"/>
            <w:vAlign w:val="center"/>
          </w:tcPr>
          <w:p w14:paraId="5D812F08" w14:textId="6099C73B" w:rsidR="00D64C38" w:rsidRDefault="00D64C38" w:rsidP="00D64C38">
            <w:pPr>
              <w:jc w:val="center"/>
            </w:pPr>
            <w:r w:rsidRPr="004E2878">
              <w:rPr>
                <w:noProof/>
              </w:rPr>
              <w:t>3</w:t>
            </w:r>
          </w:p>
        </w:tc>
      </w:tr>
      <w:tr w:rsidR="00D64C38" w14:paraId="0E5ABE20" w14:textId="77777777" w:rsidTr="00D64C38">
        <w:trPr>
          <w:tblHeader/>
          <w:jc w:val="center"/>
        </w:trPr>
        <w:tc>
          <w:tcPr>
            <w:tcW w:w="4415" w:type="dxa"/>
          </w:tcPr>
          <w:p w14:paraId="628858E6" w14:textId="0DFC9E81" w:rsidR="00D64C38" w:rsidRDefault="00D64C38" w:rsidP="00D64C38">
            <w:r w:rsidRPr="004E2878">
              <w:rPr>
                <w:noProof/>
              </w:rPr>
              <w:t>Clinton</w:t>
            </w:r>
          </w:p>
        </w:tc>
        <w:tc>
          <w:tcPr>
            <w:tcW w:w="1350" w:type="dxa"/>
            <w:vAlign w:val="center"/>
          </w:tcPr>
          <w:p w14:paraId="23C759E1" w14:textId="03FD2308" w:rsidR="00D64C38" w:rsidRDefault="00D64C38" w:rsidP="00D64C38">
            <w:pPr>
              <w:jc w:val="center"/>
            </w:pPr>
            <w:r w:rsidRPr="004E2878">
              <w:rPr>
                <w:noProof/>
              </w:rPr>
              <w:t>1.2%</w:t>
            </w:r>
          </w:p>
        </w:tc>
        <w:tc>
          <w:tcPr>
            <w:tcW w:w="1171" w:type="dxa"/>
            <w:vAlign w:val="center"/>
          </w:tcPr>
          <w:p w14:paraId="31CFDCEA" w14:textId="067D0604" w:rsidR="00D64C38" w:rsidRDefault="00D64C38" w:rsidP="00D64C38">
            <w:pPr>
              <w:jc w:val="center"/>
            </w:pPr>
            <w:r w:rsidRPr="004E2878">
              <w:rPr>
                <w:noProof/>
              </w:rPr>
              <w:t>1</w:t>
            </w:r>
          </w:p>
        </w:tc>
      </w:tr>
      <w:tr w:rsidR="00D64C38" w14:paraId="6CCB1956" w14:textId="77777777" w:rsidTr="00D64C38">
        <w:trPr>
          <w:tblHeader/>
          <w:jc w:val="center"/>
        </w:trPr>
        <w:tc>
          <w:tcPr>
            <w:tcW w:w="4415" w:type="dxa"/>
          </w:tcPr>
          <w:p w14:paraId="16DA2311" w14:textId="2F596B32" w:rsidR="00D64C38" w:rsidRDefault="00D64C38" w:rsidP="00D64C38">
            <w:r w:rsidRPr="004E2878">
              <w:rPr>
                <w:noProof/>
              </w:rPr>
              <w:t>Cumberland</w:t>
            </w:r>
          </w:p>
        </w:tc>
        <w:tc>
          <w:tcPr>
            <w:tcW w:w="1350" w:type="dxa"/>
            <w:vAlign w:val="center"/>
          </w:tcPr>
          <w:p w14:paraId="49801333" w14:textId="2135AF97" w:rsidR="00D64C38" w:rsidRDefault="00D64C38" w:rsidP="00D64C38">
            <w:pPr>
              <w:jc w:val="center"/>
            </w:pPr>
            <w:r w:rsidRPr="004E2878">
              <w:rPr>
                <w:noProof/>
              </w:rPr>
              <w:t>1.2%</w:t>
            </w:r>
          </w:p>
        </w:tc>
        <w:tc>
          <w:tcPr>
            <w:tcW w:w="1171" w:type="dxa"/>
            <w:vAlign w:val="center"/>
          </w:tcPr>
          <w:p w14:paraId="516D6511" w14:textId="055C8A4B" w:rsidR="00D64C38" w:rsidRDefault="00D64C38" w:rsidP="00D64C38">
            <w:pPr>
              <w:jc w:val="center"/>
            </w:pPr>
            <w:r w:rsidRPr="004E2878">
              <w:rPr>
                <w:noProof/>
              </w:rPr>
              <w:t>1</w:t>
            </w:r>
          </w:p>
        </w:tc>
      </w:tr>
      <w:tr w:rsidR="00D64C38" w14:paraId="77FF8041" w14:textId="77777777" w:rsidTr="00D64C38">
        <w:trPr>
          <w:tblHeader/>
          <w:jc w:val="center"/>
        </w:trPr>
        <w:tc>
          <w:tcPr>
            <w:tcW w:w="4415" w:type="dxa"/>
          </w:tcPr>
          <w:p w14:paraId="26A5334B" w14:textId="147216B6" w:rsidR="00D64C38" w:rsidRDefault="00D64C38" w:rsidP="00D64C38">
            <w:r w:rsidRPr="004E2878">
              <w:rPr>
                <w:noProof/>
              </w:rPr>
              <w:t>Dauphin</w:t>
            </w:r>
          </w:p>
        </w:tc>
        <w:tc>
          <w:tcPr>
            <w:tcW w:w="1350" w:type="dxa"/>
            <w:vAlign w:val="center"/>
          </w:tcPr>
          <w:p w14:paraId="2AAD9E03" w14:textId="239E0AD9" w:rsidR="00D64C38" w:rsidRDefault="00D64C38" w:rsidP="00D64C38">
            <w:pPr>
              <w:jc w:val="center"/>
            </w:pPr>
            <w:r w:rsidRPr="004E2878">
              <w:rPr>
                <w:noProof/>
              </w:rPr>
              <w:t>4.8%</w:t>
            </w:r>
          </w:p>
        </w:tc>
        <w:tc>
          <w:tcPr>
            <w:tcW w:w="1171" w:type="dxa"/>
            <w:vAlign w:val="center"/>
          </w:tcPr>
          <w:p w14:paraId="6193A3CB" w14:textId="4A32139F" w:rsidR="00D64C38" w:rsidRDefault="00D64C38" w:rsidP="00D64C38">
            <w:pPr>
              <w:jc w:val="center"/>
            </w:pPr>
            <w:r w:rsidRPr="004E2878">
              <w:rPr>
                <w:noProof/>
              </w:rPr>
              <w:t>4</w:t>
            </w:r>
          </w:p>
        </w:tc>
      </w:tr>
      <w:tr w:rsidR="00D64C38" w14:paraId="00BE0BDA" w14:textId="77777777" w:rsidTr="00D64C38">
        <w:trPr>
          <w:tblHeader/>
          <w:jc w:val="center"/>
        </w:trPr>
        <w:tc>
          <w:tcPr>
            <w:tcW w:w="4415" w:type="dxa"/>
          </w:tcPr>
          <w:p w14:paraId="03D90222" w14:textId="77DE0AC6" w:rsidR="00D64C38" w:rsidRDefault="00D64C38" w:rsidP="00D64C38">
            <w:r w:rsidRPr="004E2878">
              <w:rPr>
                <w:noProof/>
              </w:rPr>
              <w:t>Delaware</w:t>
            </w:r>
          </w:p>
        </w:tc>
        <w:tc>
          <w:tcPr>
            <w:tcW w:w="1350" w:type="dxa"/>
            <w:vAlign w:val="center"/>
          </w:tcPr>
          <w:p w14:paraId="3733927E" w14:textId="0112FC41" w:rsidR="00D64C38" w:rsidRDefault="00D64C38" w:rsidP="00D64C38">
            <w:pPr>
              <w:jc w:val="center"/>
            </w:pPr>
            <w:r w:rsidRPr="004E2878">
              <w:rPr>
                <w:noProof/>
              </w:rPr>
              <w:t>4.8%</w:t>
            </w:r>
          </w:p>
        </w:tc>
        <w:tc>
          <w:tcPr>
            <w:tcW w:w="1171" w:type="dxa"/>
            <w:vAlign w:val="center"/>
          </w:tcPr>
          <w:p w14:paraId="5087B1D5" w14:textId="7E279353" w:rsidR="00D64C38" w:rsidRDefault="00D64C38" w:rsidP="00D64C38">
            <w:pPr>
              <w:jc w:val="center"/>
            </w:pPr>
            <w:r w:rsidRPr="004E2878">
              <w:rPr>
                <w:noProof/>
              </w:rPr>
              <w:t>4</w:t>
            </w:r>
          </w:p>
        </w:tc>
      </w:tr>
      <w:tr w:rsidR="00D64C38" w14:paraId="7409D4C6" w14:textId="77777777" w:rsidTr="00D64C38">
        <w:trPr>
          <w:tblHeader/>
          <w:jc w:val="center"/>
        </w:trPr>
        <w:tc>
          <w:tcPr>
            <w:tcW w:w="4415" w:type="dxa"/>
          </w:tcPr>
          <w:p w14:paraId="2627703D" w14:textId="1C5032C9" w:rsidR="00D64C38" w:rsidRDefault="00D64C38" w:rsidP="00D64C38">
            <w:r w:rsidRPr="004E2878">
              <w:rPr>
                <w:noProof/>
              </w:rPr>
              <w:t>Erie</w:t>
            </w:r>
          </w:p>
        </w:tc>
        <w:tc>
          <w:tcPr>
            <w:tcW w:w="1350" w:type="dxa"/>
            <w:vAlign w:val="center"/>
          </w:tcPr>
          <w:p w14:paraId="5209A9F4" w14:textId="5063FFC9" w:rsidR="00D64C38" w:rsidRDefault="00D64C38" w:rsidP="00D64C38">
            <w:pPr>
              <w:jc w:val="center"/>
            </w:pPr>
            <w:r w:rsidRPr="004E2878">
              <w:rPr>
                <w:noProof/>
              </w:rPr>
              <w:t>2.4%</w:t>
            </w:r>
          </w:p>
        </w:tc>
        <w:tc>
          <w:tcPr>
            <w:tcW w:w="1171" w:type="dxa"/>
            <w:vAlign w:val="center"/>
          </w:tcPr>
          <w:p w14:paraId="57C9CEA8" w14:textId="4F4BCBD1" w:rsidR="00D64C38" w:rsidRDefault="00D64C38" w:rsidP="00D64C38">
            <w:pPr>
              <w:jc w:val="center"/>
            </w:pPr>
            <w:r w:rsidRPr="004E2878">
              <w:rPr>
                <w:noProof/>
              </w:rPr>
              <w:t>2</w:t>
            </w:r>
          </w:p>
        </w:tc>
      </w:tr>
      <w:tr w:rsidR="00D64C38" w14:paraId="7697AED0" w14:textId="77777777" w:rsidTr="00D64C38">
        <w:trPr>
          <w:tblHeader/>
          <w:jc w:val="center"/>
        </w:trPr>
        <w:tc>
          <w:tcPr>
            <w:tcW w:w="4415" w:type="dxa"/>
          </w:tcPr>
          <w:p w14:paraId="585151AF" w14:textId="4BB90F60" w:rsidR="00D64C38" w:rsidRDefault="00D64C38" w:rsidP="00D64C38">
            <w:r w:rsidRPr="004E2878">
              <w:rPr>
                <w:noProof/>
              </w:rPr>
              <w:t>Lackawanna</w:t>
            </w:r>
          </w:p>
        </w:tc>
        <w:tc>
          <w:tcPr>
            <w:tcW w:w="1350" w:type="dxa"/>
            <w:vAlign w:val="center"/>
          </w:tcPr>
          <w:p w14:paraId="42B799F7" w14:textId="2758A860" w:rsidR="00D64C38" w:rsidRDefault="00D64C38" w:rsidP="00D64C38">
            <w:pPr>
              <w:jc w:val="center"/>
            </w:pPr>
            <w:r w:rsidRPr="004E2878">
              <w:rPr>
                <w:noProof/>
              </w:rPr>
              <w:t>1.2%</w:t>
            </w:r>
          </w:p>
        </w:tc>
        <w:tc>
          <w:tcPr>
            <w:tcW w:w="1171" w:type="dxa"/>
            <w:vAlign w:val="center"/>
          </w:tcPr>
          <w:p w14:paraId="189A6815" w14:textId="29D6E3B9" w:rsidR="00D64C38" w:rsidRDefault="00D64C38" w:rsidP="00D64C38">
            <w:pPr>
              <w:jc w:val="center"/>
            </w:pPr>
            <w:r w:rsidRPr="004E2878">
              <w:rPr>
                <w:noProof/>
              </w:rPr>
              <w:t>1</w:t>
            </w:r>
          </w:p>
        </w:tc>
      </w:tr>
      <w:tr w:rsidR="00D64C38" w14:paraId="30329975" w14:textId="77777777" w:rsidTr="00D64C38">
        <w:trPr>
          <w:tblHeader/>
          <w:jc w:val="center"/>
        </w:trPr>
        <w:tc>
          <w:tcPr>
            <w:tcW w:w="4415" w:type="dxa"/>
          </w:tcPr>
          <w:p w14:paraId="58111128" w14:textId="158FC539" w:rsidR="00D64C38" w:rsidRDefault="00D64C38" w:rsidP="00D64C38">
            <w:r w:rsidRPr="004E2878">
              <w:rPr>
                <w:noProof/>
              </w:rPr>
              <w:t>Lancaster</w:t>
            </w:r>
          </w:p>
        </w:tc>
        <w:tc>
          <w:tcPr>
            <w:tcW w:w="1350" w:type="dxa"/>
            <w:vAlign w:val="center"/>
          </w:tcPr>
          <w:p w14:paraId="21CC1316" w14:textId="0F402E77" w:rsidR="00D64C38" w:rsidRDefault="00D64C38" w:rsidP="00D64C38">
            <w:pPr>
              <w:jc w:val="center"/>
            </w:pPr>
            <w:r w:rsidRPr="004E2878">
              <w:rPr>
                <w:noProof/>
              </w:rPr>
              <w:t>8.3%</w:t>
            </w:r>
          </w:p>
        </w:tc>
        <w:tc>
          <w:tcPr>
            <w:tcW w:w="1171" w:type="dxa"/>
            <w:vAlign w:val="center"/>
          </w:tcPr>
          <w:p w14:paraId="2D04E785" w14:textId="33EAFF08" w:rsidR="00D64C38" w:rsidRDefault="00D64C38" w:rsidP="00D64C38">
            <w:pPr>
              <w:jc w:val="center"/>
            </w:pPr>
            <w:r w:rsidRPr="004E2878">
              <w:rPr>
                <w:noProof/>
              </w:rPr>
              <w:t>7</w:t>
            </w:r>
          </w:p>
        </w:tc>
      </w:tr>
      <w:tr w:rsidR="00D64C38" w14:paraId="60D3FF5C" w14:textId="77777777" w:rsidTr="00D64C38">
        <w:trPr>
          <w:tblHeader/>
          <w:jc w:val="center"/>
        </w:trPr>
        <w:tc>
          <w:tcPr>
            <w:tcW w:w="4415" w:type="dxa"/>
          </w:tcPr>
          <w:p w14:paraId="374D1ACA" w14:textId="478DCC09" w:rsidR="00D64C38" w:rsidRDefault="00D64C38" w:rsidP="00D64C38">
            <w:r w:rsidRPr="004E2878">
              <w:rPr>
                <w:noProof/>
              </w:rPr>
              <w:t>Lawrence</w:t>
            </w:r>
          </w:p>
        </w:tc>
        <w:tc>
          <w:tcPr>
            <w:tcW w:w="1350" w:type="dxa"/>
            <w:vAlign w:val="center"/>
          </w:tcPr>
          <w:p w14:paraId="24098C22" w14:textId="2C433890" w:rsidR="00D64C38" w:rsidRDefault="00D64C38" w:rsidP="00D64C38">
            <w:pPr>
              <w:jc w:val="center"/>
            </w:pPr>
            <w:r w:rsidRPr="004E2878">
              <w:rPr>
                <w:noProof/>
              </w:rPr>
              <w:t>1.2%</w:t>
            </w:r>
          </w:p>
        </w:tc>
        <w:tc>
          <w:tcPr>
            <w:tcW w:w="1171" w:type="dxa"/>
            <w:vAlign w:val="center"/>
          </w:tcPr>
          <w:p w14:paraId="1D51A92E" w14:textId="5946B30A" w:rsidR="00D64C38" w:rsidRDefault="00D64C38" w:rsidP="00D64C38">
            <w:pPr>
              <w:jc w:val="center"/>
            </w:pPr>
            <w:r w:rsidRPr="004E2878">
              <w:rPr>
                <w:noProof/>
              </w:rPr>
              <w:t>1</w:t>
            </w:r>
          </w:p>
        </w:tc>
      </w:tr>
      <w:tr w:rsidR="00D64C38" w14:paraId="7F3F38FB" w14:textId="77777777" w:rsidTr="00D64C38">
        <w:trPr>
          <w:tblHeader/>
          <w:jc w:val="center"/>
        </w:trPr>
        <w:tc>
          <w:tcPr>
            <w:tcW w:w="4415" w:type="dxa"/>
          </w:tcPr>
          <w:p w14:paraId="767CB895" w14:textId="25D9552E" w:rsidR="00D64C38" w:rsidRDefault="00D64C38" w:rsidP="00D64C38">
            <w:r w:rsidRPr="004E2878">
              <w:rPr>
                <w:noProof/>
              </w:rPr>
              <w:t>Lebanon</w:t>
            </w:r>
          </w:p>
        </w:tc>
        <w:tc>
          <w:tcPr>
            <w:tcW w:w="1350" w:type="dxa"/>
            <w:vAlign w:val="center"/>
          </w:tcPr>
          <w:p w14:paraId="29C22EBB" w14:textId="29DDC208" w:rsidR="00D64C38" w:rsidRDefault="00D64C38" w:rsidP="00D64C38">
            <w:pPr>
              <w:jc w:val="center"/>
            </w:pPr>
            <w:r w:rsidRPr="004E2878">
              <w:rPr>
                <w:noProof/>
              </w:rPr>
              <w:t>1.2%</w:t>
            </w:r>
          </w:p>
        </w:tc>
        <w:tc>
          <w:tcPr>
            <w:tcW w:w="1171" w:type="dxa"/>
            <w:vAlign w:val="center"/>
          </w:tcPr>
          <w:p w14:paraId="1987867D" w14:textId="084F7E5F" w:rsidR="00D64C38" w:rsidRDefault="00D64C38" w:rsidP="00D64C38">
            <w:pPr>
              <w:jc w:val="center"/>
            </w:pPr>
            <w:r w:rsidRPr="004E2878">
              <w:rPr>
                <w:noProof/>
              </w:rPr>
              <w:t>1</w:t>
            </w:r>
          </w:p>
        </w:tc>
      </w:tr>
      <w:tr w:rsidR="00D64C38" w14:paraId="4CE42A19" w14:textId="77777777" w:rsidTr="00D64C38">
        <w:trPr>
          <w:tblHeader/>
          <w:jc w:val="center"/>
        </w:trPr>
        <w:tc>
          <w:tcPr>
            <w:tcW w:w="4415" w:type="dxa"/>
          </w:tcPr>
          <w:p w14:paraId="613C1E49" w14:textId="1DA58C5F" w:rsidR="00D64C38" w:rsidRDefault="00D64C38" w:rsidP="00D64C38">
            <w:r w:rsidRPr="004E2878">
              <w:rPr>
                <w:noProof/>
              </w:rPr>
              <w:t>Montgomery</w:t>
            </w:r>
          </w:p>
        </w:tc>
        <w:tc>
          <w:tcPr>
            <w:tcW w:w="1350" w:type="dxa"/>
            <w:vAlign w:val="center"/>
          </w:tcPr>
          <w:p w14:paraId="5A62B946" w14:textId="3B697EF4" w:rsidR="00D64C38" w:rsidRDefault="00D64C38" w:rsidP="00D64C38">
            <w:pPr>
              <w:jc w:val="center"/>
            </w:pPr>
            <w:r w:rsidRPr="004E2878">
              <w:rPr>
                <w:noProof/>
              </w:rPr>
              <w:t>4.8%</w:t>
            </w:r>
          </w:p>
        </w:tc>
        <w:tc>
          <w:tcPr>
            <w:tcW w:w="1171" w:type="dxa"/>
            <w:vAlign w:val="center"/>
          </w:tcPr>
          <w:p w14:paraId="186A9BB5" w14:textId="6CAFC007" w:rsidR="00D64C38" w:rsidRDefault="00D64C38" w:rsidP="00D64C38">
            <w:pPr>
              <w:jc w:val="center"/>
            </w:pPr>
            <w:r w:rsidRPr="004E2878">
              <w:rPr>
                <w:noProof/>
              </w:rPr>
              <w:t>4</w:t>
            </w:r>
          </w:p>
        </w:tc>
      </w:tr>
      <w:tr w:rsidR="00D64C38" w14:paraId="69251E2B" w14:textId="77777777" w:rsidTr="00D64C38">
        <w:trPr>
          <w:tblHeader/>
          <w:jc w:val="center"/>
        </w:trPr>
        <w:tc>
          <w:tcPr>
            <w:tcW w:w="4415" w:type="dxa"/>
          </w:tcPr>
          <w:p w14:paraId="5532539C" w14:textId="7306D700" w:rsidR="00D64C38" w:rsidRDefault="00D64C38" w:rsidP="00D64C38">
            <w:r w:rsidRPr="004E2878">
              <w:rPr>
                <w:noProof/>
              </w:rPr>
              <w:t>Philadelphia</w:t>
            </w:r>
          </w:p>
        </w:tc>
        <w:tc>
          <w:tcPr>
            <w:tcW w:w="1350" w:type="dxa"/>
            <w:vAlign w:val="center"/>
          </w:tcPr>
          <w:p w14:paraId="06BE6ACE" w14:textId="59382C82" w:rsidR="00D64C38" w:rsidRDefault="00D64C38" w:rsidP="00D64C38">
            <w:pPr>
              <w:jc w:val="center"/>
            </w:pPr>
            <w:r w:rsidRPr="004E2878">
              <w:rPr>
                <w:noProof/>
              </w:rPr>
              <w:t>31.0%</w:t>
            </w:r>
          </w:p>
        </w:tc>
        <w:tc>
          <w:tcPr>
            <w:tcW w:w="1171" w:type="dxa"/>
            <w:vAlign w:val="center"/>
          </w:tcPr>
          <w:p w14:paraId="52142039" w14:textId="2D66AB41" w:rsidR="00D64C38" w:rsidRDefault="00D64C38" w:rsidP="00D64C38">
            <w:pPr>
              <w:jc w:val="center"/>
            </w:pPr>
            <w:r w:rsidRPr="004E2878">
              <w:rPr>
                <w:noProof/>
              </w:rPr>
              <w:t>26</w:t>
            </w:r>
          </w:p>
        </w:tc>
      </w:tr>
      <w:tr w:rsidR="00D64C38" w14:paraId="5F51C497" w14:textId="77777777" w:rsidTr="00D64C38">
        <w:trPr>
          <w:tblHeader/>
          <w:jc w:val="center"/>
        </w:trPr>
        <w:tc>
          <w:tcPr>
            <w:tcW w:w="4415" w:type="dxa"/>
          </w:tcPr>
          <w:p w14:paraId="2EC11131" w14:textId="68730792" w:rsidR="00D64C38" w:rsidRDefault="00D64C38" w:rsidP="00D64C38">
            <w:r w:rsidRPr="004E2878">
              <w:rPr>
                <w:noProof/>
              </w:rPr>
              <w:t>Snyder</w:t>
            </w:r>
          </w:p>
        </w:tc>
        <w:tc>
          <w:tcPr>
            <w:tcW w:w="1350" w:type="dxa"/>
            <w:vAlign w:val="center"/>
          </w:tcPr>
          <w:p w14:paraId="3FBD5C9E" w14:textId="5B105735" w:rsidR="00D64C38" w:rsidRDefault="00D64C38" w:rsidP="00D64C38">
            <w:pPr>
              <w:jc w:val="center"/>
            </w:pPr>
            <w:r w:rsidRPr="004E2878">
              <w:rPr>
                <w:noProof/>
              </w:rPr>
              <w:t>1.2%</w:t>
            </w:r>
          </w:p>
        </w:tc>
        <w:tc>
          <w:tcPr>
            <w:tcW w:w="1171" w:type="dxa"/>
            <w:vAlign w:val="center"/>
          </w:tcPr>
          <w:p w14:paraId="5E96EEBD" w14:textId="56C4A6DE" w:rsidR="00D64C38" w:rsidRDefault="00D64C38" w:rsidP="00D64C38">
            <w:pPr>
              <w:jc w:val="center"/>
            </w:pPr>
            <w:r w:rsidRPr="004E2878">
              <w:rPr>
                <w:noProof/>
              </w:rPr>
              <w:t>1</w:t>
            </w:r>
          </w:p>
        </w:tc>
      </w:tr>
      <w:tr w:rsidR="00D64C38" w14:paraId="05A459EC" w14:textId="77777777" w:rsidTr="00D64C38">
        <w:trPr>
          <w:tblHeader/>
          <w:jc w:val="center"/>
        </w:trPr>
        <w:tc>
          <w:tcPr>
            <w:tcW w:w="4415" w:type="dxa"/>
          </w:tcPr>
          <w:p w14:paraId="223A4218" w14:textId="1FF64D86" w:rsidR="00D64C38" w:rsidRDefault="00D64C38" w:rsidP="00D64C38">
            <w:r w:rsidRPr="004E2878">
              <w:rPr>
                <w:noProof/>
              </w:rPr>
              <w:t>Susquehanna</w:t>
            </w:r>
          </w:p>
        </w:tc>
        <w:tc>
          <w:tcPr>
            <w:tcW w:w="1350" w:type="dxa"/>
            <w:vAlign w:val="center"/>
          </w:tcPr>
          <w:p w14:paraId="30064FF0" w14:textId="1CEE803F" w:rsidR="00D64C38" w:rsidRDefault="00D64C38" w:rsidP="00D64C38">
            <w:pPr>
              <w:jc w:val="center"/>
            </w:pPr>
            <w:r w:rsidRPr="004E2878">
              <w:rPr>
                <w:noProof/>
              </w:rPr>
              <w:t>1.2%</w:t>
            </w:r>
          </w:p>
        </w:tc>
        <w:tc>
          <w:tcPr>
            <w:tcW w:w="1171" w:type="dxa"/>
            <w:vAlign w:val="center"/>
          </w:tcPr>
          <w:p w14:paraId="7D356D05" w14:textId="51426CB6" w:rsidR="00D64C38" w:rsidRDefault="00D64C38" w:rsidP="00D64C38">
            <w:pPr>
              <w:jc w:val="center"/>
            </w:pPr>
            <w:r w:rsidRPr="004E2878">
              <w:rPr>
                <w:noProof/>
              </w:rPr>
              <w:t>1</w:t>
            </w:r>
          </w:p>
        </w:tc>
      </w:tr>
      <w:tr w:rsidR="00D64C38" w14:paraId="5734E132" w14:textId="77777777" w:rsidTr="00D64C38">
        <w:trPr>
          <w:tblHeader/>
          <w:jc w:val="center"/>
        </w:trPr>
        <w:tc>
          <w:tcPr>
            <w:tcW w:w="4415" w:type="dxa"/>
          </w:tcPr>
          <w:p w14:paraId="49486769" w14:textId="4708CD38" w:rsidR="00D64C38" w:rsidRDefault="00D64C38" w:rsidP="00D64C38">
            <w:r w:rsidRPr="004E2878">
              <w:rPr>
                <w:noProof/>
              </w:rPr>
              <w:t>Washington</w:t>
            </w:r>
          </w:p>
        </w:tc>
        <w:tc>
          <w:tcPr>
            <w:tcW w:w="1350" w:type="dxa"/>
            <w:vAlign w:val="center"/>
          </w:tcPr>
          <w:p w14:paraId="79B404E0" w14:textId="04BAAB43" w:rsidR="00D64C38" w:rsidRDefault="00D64C38" w:rsidP="00D64C38">
            <w:pPr>
              <w:jc w:val="center"/>
            </w:pPr>
            <w:r w:rsidRPr="004E2878">
              <w:rPr>
                <w:noProof/>
              </w:rPr>
              <w:t>6.0%</w:t>
            </w:r>
          </w:p>
        </w:tc>
        <w:tc>
          <w:tcPr>
            <w:tcW w:w="1171" w:type="dxa"/>
            <w:vAlign w:val="center"/>
          </w:tcPr>
          <w:p w14:paraId="0A2C0E7F" w14:textId="7C5168B1" w:rsidR="00D64C38" w:rsidRDefault="00D64C38" w:rsidP="00D64C38">
            <w:pPr>
              <w:jc w:val="center"/>
            </w:pPr>
            <w:r w:rsidRPr="004E2878">
              <w:rPr>
                <w:noProof/>
              </w:rPr>
              <w:t>5</w:t>
            </w:r>
          </w:p>
        </w:tc>
      </w:tr>
      <w:tr w:rsidR="00D64C38" w14:paraId="3E31524A" w14:textId="77777777" w:rsidTr="00D64C38">
        <w:trPr>
          <w:tblHeader/>
          <w:jc w:val="center"/>
        </w:trPr>
        <w:tc>
          <w:tcPr>
            <w:tcW w:w="4415" w:type="dxa"/>
          </w:tcPr>
          <w:p w14:paraId="2F9897A0" w14:textId="37B5B862" w:rsidR="00D64C38" w:rsidRDefault="00D64C38" w:rsidP="00D64C38">
            <w:r w:rsidRPr="004E2878">
              <w:rPr>
                <w:noProof/>
              </w:rPr>
              <w:t>Westmoreland</w:t>
            </w:r>
          </w:p>
        </w:tc>
        <w:tc>
          <w:tcPr>
            <w:tcW w:w="1350" w:type="dxa"/>
            <w:vAlign w:val="center"/>
          </w:tcPr>
          <w:p w14:paraId="0BFDABE5" w14:textId="0848C990" w:rsidR="00D64C38" w:rsidRDefault="00D64C38" w:rsidP="00D64C38">
            <w:pPr>
              <w:jc w:val="center"/>
            </w:pPr>
            <w:r w:rsidRPr="004E2878">
              <w:rPr>
                <w:noProof/>
              </w:rPr>
              <w:t>1.2%</w:t>
            </w:r>
          </w:p>
        </w:tc>
        <w:tc>
          <w:tcPr>
            <w:tcW w:w="1171" w:type="dxa"/>
            <w:vAlign w:val="center"/>
          </w:tcPr>
          <w:p w14:paraId="1DB830B5" w14:textId="5A2A41B0" w:rsidR="00D64C38" w:rsidRDefault="00D64C38" w:rsidP="00D64C38">
            <w:pPr>
              <w:jc w:val="center"/>
            </w:pPr>
            <w:r w:rsidRPr="004E2878">
              <w:rPr>
                <w:noProof/>
              </w:rPr>
              <w:t>1</w:t>
            </w:r>
          </w:p>
        </w:tc>
      </w:tr>
      <w:bookmarkEnd w:id="15"/>
    </w:tbl>
    <w:p w14:paraId="45AA68A9" w14:textId="77777777" w:rsidR="00413D89" w:rsidRDefault="00413D89">
      <w:pPr>
        <w:rPr>
          <w:i/>
          <w:iCs/>
          <w:color w:val="44546A" w:themeColor="text2"/>
          <w:szCs w:val="18"/>
        </w:rPr>
      </w:pPr>
      <w:r>
        <w:br w:type="page"/>
      </w:r>
    </w:p>
    <w:p w14:paraId="10786E91" w14:textId="60F8D904" w:rsidR="00D64C38" w:rsidRDefault="006C604C" w:rsidP="00413D89">
      <w:pPr>
        <w:pStyle w:val="Caption"/>
        <w:keepNext/>
        <w:jc w:val="center"/>
      </w:pPr>
      <w:hyperlink w:anchor="Figure_5_ACO_Respondents_by_PA_County" w:history="1">
        <w:proofErr w:type="gramStart"/>
        <w:r w:rsidR="00D64C38" w:rsidRPr="00455F27">
          <w:rPr>
            <w:rStyle w:val="Hyperlink"/>
          </w:rPr>
          <w:t xml:space="preserve">Table </w:t>
        </w:r>
        <w:proofErr w:type="gramEnd"/>
        <w:r w:rsidR="009B6532">
          <w:rPr>
            <w:rStyle w:val="Hyperlink"/>
          </w:rPr>
          <w:fldChar w:fldCharType="begin"/>
        </w:r>
        <w:r w:rsidR="009B6532">
          <w:rPr>
            <w:rStyle w:val="Hyperlink"/>
          </w:rPr>
          <w:instrText xml:space="preserve"> SEQ Table \* ARABIC </w:instrText>
        </w:r>
        <w:r w:rsidR="009B6532">
          <w:rPr>
            <w:rStyle w:val="Hyperlink"/>
          </w:rPr>
          <w:fldChar w:fldCharType="separate"/>
        </w:r>
        <w:r w:rsidR="00BD618B">
          <w:rPr>
            <w:rStyle w:val="Hyperlink"/>
            <w:noProof/>
          </w:rPr>
          <w:t>6</w:t>
        </w:r>
        <w:r w:rsidR="009B6532">
          <w:rPr>
            <w:rStyle w:val="Hyperlink"/>
          </w:rPr>
          <w:fldChar w:fldCharType="end"/>
        </w:r>
      </w:hyperlink>
      <w:r w:rsidR="002A1617">
        <w:rPr>
          <w:rStyle w:val="Hyperlink"/>
        </w:rPr>
        <w:t>.</w:t>
      </w:r>
      <w:r w:rsidR="00D64C38">
        <w:t xml:space="preserve"> </w:t>
      </w:r>
      <w:r w:rsidR="00D64C38" w:rsidRPr="002A1617">
        <w:rPr>
          <w:i w:val="0"/>
        </w:rPr>
        <w:t xml:space="preserve">Percentage and Count of ACO Respondents </w:t>
      </w:r>
      <w:r w:rsidR="008A170D" w:rsidRPr="002A1617">
        <w:rPr>
          <w:i w:val="0"/>
        </w:rPr>
        <w:t xml:space="preserve">by </w:t>
      </w:r>
      <w:r w:rsidR="00D64C38" w:rsidRPr="002A1617">
        <w:rPr>
          <w:i w:val="0"/>
        </w:rPr>
        <w:t>Count</w:t>
      </w:r>
      <w:r w:rsidR="008A170D" w:rsidRPr="002A1617">
        <w:rPr>
          <w:i w:val="0"/>
        </w:rPr>
        <w:t>y</w:t>
      </w:r>
    </w:p>
    <w:tbl>
      <w:tblPr>
        <w:tblStyle w:val="TableGrid"/>
        <w:tblW w:w="0" w:type="auto"/>
        <w:jc w:val="center"/>
        <w:tblLook w:val="04A0" w:firstRow="1" w:lastRow="0" w:firstColumn="1" w:lastColumn="0" w:noHBand="0" w:noVBand="1"/>
        <w:tblCaption w:val="Table 6: Percentage and Count of ACO Respondents across Pennsylvania Counties"/>
        <w:tblDescription w:val="The table displays percentages and counts of ACO respondents across their counties of residence in Pennsylvania."/>
      </w:tblPr>
      <w:tblGrid>
        <w:gridCol w:w="4306"/>
        <w:gridCol w:w="1337"/>
        <w:gridCol w:w="1171"/>
      </w:tblGrid>
      <w:tr w:rsidR="00C42E1D" w14:paraId="788639D6" w14:textId="77777777" w:rsidTr="00D64C38">
        <w:trPr>
          <w:trHeight w:val="603"/>
          <w:tblHeader/>
          <w:jc w:val="center"/>
        </w:trPr>
        <w:tc>
          <w:tcPr>
            <w:tcW w:w="4306" w:type="dxa"/>
            <w:shd w:val="clear" w:color="auto" w:fill="000000" w:themeFill="text1"/>
            <w:vAlign w:val="center"/>
          </w:tcPr>
          <w:p w14:paraId="7305C107" w14:textId="07C00981" w:rsidR="00C42E1D" w:rsidRPr="00D64C38" w:rsidRDefault="00C42E1D" w:rsidP="00D64C38">
            <w:pPr>
              <w:jc w:val="center"/>
              <w:rPr>
                <w:b/>
              </w:rPr>
            </w:pPr>
            <w:bookmarkStart w:id="16" w:name="Table_6_ACO_Respondents_by_PA_County"/>
            <w:r w:rsidRPr="00D64C38">
              <w:rPr>
                <w:b/>
              </w:rPr>
              <w:t>County</w:t>
            </w:r>
          </w:p>
        </w:tc>
        <w:tc>
          <w:tcPr>
            <w:tcW w:w="1337" w:type="dxa"/>
            <w:shd w:val="clear" w:color="auto" w:fill="000000" w:themeFill="text1"/>
            <w:vAlign w:val="center"/>
          </w:tcPr>
          <w:p w14:paraId="3ECB0DA6" w14:textId="60FEA5F2" w:rsidR="00C42E1D" w:rsidRPr="00D64C38" w:rsidRDefault="00D64C38" w:rsidP="00D64C38">
            <w:pPr>
              <w:jc w:val="center"/>
              <w:rPr>
                <w:b/>
              </w:rPr>
            </w:pPr>
            <w:r w:rsidRPr="00D64C38">
              <w:rPr>
                <w:b/>
              </w:rPr>
              <w:t>Response Percentage</w:t>
            </w:r>
          </w:p>
        </w:tc>
        <w:tc>
          <w:tcPr>
            <w:tcW w:w="1171" w:type="dxa"/>
            <w:shd w:val="clear" w:color="auto" w:fill="000000" w:themeFill="text1"/>
            <w:vAlign w:val="center"/>
          </w:tcPr>
          <w:p w14:paraId="0ED7668F" w14:textId="24311367" w:rsidR="00C42E1D" w:rsidRPr="00D64C38" w:rsidRDefault="00D64C38" w:rsidP="00D64C38">
            <w:pPr>
              <w:jc w:val="center"/>
              <w:rPr>
                <w:b/>
              </w:rPr>
            </w:pPr>
            <w:r w:rsidRPr="00D64C38">
              <w:rPr>
                <w:b/>
              </w:rPr>
              <w:t>Response Count</w:t>
            </w:r>
          </w:p>
        </w:tc>
      </w:tr>
      <w:tr w:rsidR="00D64C38" w14:paraId="66B13BDD" w14:textId="77777777" w:rsidTr="00D64C38">
        <w:trPr>
          <w:trHeight w:val="292"/>
          <w:tblHeader/>
          <w:jc w:val="center"/>
        </w:trPr>
        <w:tc>
          <w:tcPr>
            <w:tcW w:w="4306" w:type="dxa"/>
          </w:tcPr>
          <w:p w14:paraId="5065C84B" w14:textId="0562EDAE" w:rsidR="00D64C38" w:rsidRDefault="00D64C38" w:rsidP="00D64C38">
            <w:r w:rsidRPr="004E2878">
              <w:rPr>
                <w:noProof/>
              </w:rPr>
              <w:t>Adams</w:t>
            </w:r>
          </w:p>
        </w:tc>
        <w:tc>
          <w:tcPr>
            <w:tcW w:w="1337" w:type="dxa"/>
            <w:vAlign w:val="center"/>
          </w:tcPr>
          <w:p w14:paraId="6BC1C155" w14:textId="5ABAEEED" w:rsidR="00D64C38" w:rsidRDefault="00D64C38" w:rsidP="00D64C38">
            <w:pPr>
              <w:jc w:val="center"/>
            </w:pPr>
            <w:r w:rsidRPr="004E2878">
              <w:rPr>
                <w:noProof/>
              </w:rPr>
              <w:t>1.1%</w:t>
            </w:r>
          </w:p>
        </w:tc>
        <w:tc>
          <w:tcPr>
            <w:tcW w:w="1171" w:type="dxa"/>
            <w:vAlign w:val="center"/>
          </w:tcPr>
          <w:p w14:paraId="0322BCCA" w14:textId="533BACC9" w:rsidR="00D64C38" w:rsidRDefault="00D64C38" w:rsidP="00D64C38">
            <w:pPr>
              <w:jc w:val="center"/>
            </w:pPr>
            <w:r w:rsidRPr="004E2878">
              <w:rPr>
                <w:noProof/>
              </w:rPr>
              <w:t>2</w:t>
            </w:r>
          </w:p>
        </w:tc>
      </w:tr>
      <w:tr w:rsidR="00D64C38" w14:paraId="164E1277" w14:textId="77777777" w:rsidTr="00D64C38">
        <w:trPr>
          <w:trHeight w:val="292"/>
          <w:tblHeader/>
          <w:jc w:val="center"/>
        </w:trPr>
        <w:tc>
          <w:tcPr>
            <w:tcW w:w="4306" w:type="dxa"/>
          </w:tcPr>
          <w:p w14:paraId="38528D1E" w14:textId="3F44E588" w:rsidR="00D64C38" w:rsidRDefault="00D64C38" w:rsidP="00D64C38">
            <w:r w:rsidRPr="004E2878">
              <w:rPr>
                <w:noProof/>
              </w:rPr>
              <w:t>Allegheny</w:t>
            </w:r>
          </w:p>
        </w:tc>
        <w:tc>
          <w:tcPr>
            <w:tcW w:w="1337" w:type="dxa"/>
            <w:vAlign w:val="center"/>
          </w:tcPr>
          <w:p w14:paraId="51FC7DBB" w14:textId="506CE744" w:rsidR="00D64C38" w:rsidRDefault="00D64C38" w:rsidP="00D64C38">
            <w:pPr>
              <w:jc w:val="center"/>
            </w:pPr>
            <w:r w:rsidRPr="004E2878">
              <w:rPr>
                <w:noProof/>
              </w:rPr>
              <w:t>13.0%</w:t>
            </w:r>
          </w:p>
        </w:tc>
        <w:tc>
          <w:tcPr>
            <w:tcW w:w="1171" w:type="dxa"/>
            <w:vAlign w:val="center"/>
          </w:tcPr>
          <w:p w14:paraId="5E7053DC" w14:textId="33606DD1" w:rsidR="00D64C38" w:rsidRDefault="00D64C38" w:rsidP="00D64C38">
            <w:pPr>
              <w:jc w:val="center"/>
            </w:pPr>
            <w:r w:rsidRPr="004E2878">
              <w:rPr>
                <w:noProof/>
              </w:rPr>
              <w:t>23</w:t>
            </w:r>
          </w:p>
        </w:tc>
      </w:tr>
      <w:tr w:rsidR="00D64C38" w14:paraId="58736A76" w14:textId="77777777" w:rsidTr="00D64C38">
        <w:trPr>
          <w:trHeight w:val="292"/>
          <w:tblHeader/>
          <w:jc w:val="center"/>
        </w:trPr>
        <w:tc>
          <w:tcPr>
            <w:tcW w:w="4306" w:type="dxa"/>
          </w:tcPr>
          <w:p w14:paraId="4C271627" w14:textId="51266A85" w:rsidR="00D64C38" w:rsidRDefault="00D64C38" w:rsidP="00D64C38">
            <w:r w:rsidRPr="004E2878">
              <w:rPr>
                <w:noProof/>
              </w:rPr>
              <w:t>Armstrong</w:t>
            </w:r>
          </w:p>
        </w:tc>
        <w:tc>
          <w:tcPr>
            <w:tcW w:w="1337" w:type="dxa"/>
            <w:vAlign w:val="center"/>
          </w:tcPr>
          <w:p w14:paraId="1289B57B" w14:textId="7CF10E7D" w:rsidR="00D64C38" w:rsidRDefault="00D64C38" w:rsidP="00D64C38">
            <w:pPr>
              <w:jc w:val="center"/>
            </w:pPr>
            <w:r w:rsidRPr="004E2878">
              <w:rPr>
                <w:noProof/>
              </w:rPr>
              <w:t>1.1%</w:t>
            </w:r>
          </w:p>
        </w:tc>
        <w:tc>
          <w:tcPr>
            <w:tcW w:w="1171" w:type="dxa"/>
            <w:vAlign w:val="center"/>
          </w:tcPr>
          <w:p w14:paraId="4803E4F5" w14:textId="1561B9C1" w:rsidR="00D64C38" w:rsidRDefault="00D64C38" w:rsidP="00D64C38">
            <w:pPr>
              <w:jc w:val="center"/>
            </w:pPr>
            <w:r w:rsidRPr="004E2878">
              <w:rPr>
                <w:noProof/>
              </w:rPr>
              <w:t>2</w:t>
            </w:r>
          </w:p>
        </w:tc>
      </w:tr>
      <w:tr w:rsidR="00D64C38" w14:paraId="7C3BA3B7" w14:textId="77777777" w:rsidTr="00D64C38">
        <w:trPr>
          <w:trHeight w:val="311"/>
          <w:tblHeader/>
          <w:jc w:val="center"/>
        </w:trPr>
        <w:tc>
          <w:tcPr>
            <w:tcW w:w="4306" w:type="dxa"/>
          </w:tcPr>
          <w:p w14:paraId="5EC81A71" w14:textId="49D16188" w:rsidR="00D64C38" w:rsidRDefault="00D64C38" w:rsidP="00D64C38">
            <w:r w:rsidRPr="004E2878">
              <w:rPr>
                <w:noProof/>
              </w:rPr>
              <w:t>Berks</w:t>
            </w:r>
          </w:p>
        </w:tc>
        <w:tc>
          <w:tcPr>
            <w:tcW w:w="1337" w:type="dxa"/>
            <w:vAlign w:val="center"/>
          </w:tcPr>
          <w:p w14:paraId="3DAB3845" w14:textId="46C5DC1A" w:rsidR="00D64C38" w:rsidRDefault="00D64C38" w:rsidP="00D64C38">
            <w:pPr>
              <w:jc w:val="center"/>
            </w:pPr>
            <w:r w:rsidRPr="004E2878">
              <w:rPr>
                <w:noProof/>
              </w:rPr>
              <w:t>2.8%</w:t>
            </w:r>
          </w:p>
        </w:tc>
        <w:tc>
          <w:tcPr>
            <w:tcW w:w="1171" w:type="dxa"/>
            <w:vAlign w:val="center"/>
          </w:tcPr>
          <w:p w14:paraId="6C9A7306" w14:textId="611FD7E2" w:rsidR="00D64C38" w:rsidRDefault="00D64C38" w:rsidP="00D64C38">
            <w:pPr>
              <w:jc w:val="center"/>
            </w:pPr>
            <w:r w:rsidRPr="004E2878">
              <w:rPr>
                <w:noProof/>
              </w:rPr>
              <w:t>5</w:t>
            </w:r>
          </w:p>
        </w:tc>
      </w:tr>
      <w:tr w:rsidR="00D64C38" w14:paraId="3AE1CD67" w14:textId="77777777" w:rsidTr="00D64C38">
        <w:trPr>
          <w:trHeight w:val="292"/>
          <w:tblHeader/>
          <w:jc w:val="center"/>
        </w:trPr>
        <w:tc>
          <w:tcPr>
            <w:tcW w:w="4306" w:type="dxa"/>
          </w:tcPr>
          <w:p w14:paraId="17048B1C" w14:textId="009789DC" w:rsidR="00D64C38" w:rsidRDefault="00D64C38" w:rsidP="00D64C38">
            <w:r w:rsidRPr="004E2878">
              <w:rPr>
                <w:noProof/>
              </w:rPr>
              <w:t>Bradford</w:t>
            </w:r>
          </w:p>
        </w:tc>
        <w:tc>
          <w:tcPr>
            <w:tcW w:w="1337" w:type="dxa"/>
            <w:vAlign w:val="center"/>
          </w:tcPr>
          <w:p w14:paraId="24596CBE" w14:textId="2F99B3AD" w:rsidR="00D64C38" w:rsidRDefault="00D64C38" w:rsidP="00D64C38">
            <w:pPr>
              <w:jc w:val="center"/>
            </w:pPr>
            <w:r w:rsidRPr="004E2878">
              <w:rPr>
                <w:noProof/>
              </w:rPr>
              <w:t>0.6%</w:t>
            </w:r>
          </w:p>
        </w:tc>
        <w:tc>
          <w:tcPr>
            <w:tcW w:w="1171" w:type="dxa"/>
            <w:vAlign w:val="center"/>
          </w:tcPr>
          <w:p w14:paraId="15AD7803" w14:textId="1DA9F0D7" w:rsidR="00D64C38" w:rsidRDefault="00D64C38" w:rsidP="00D64C38">
            <w:pPr>
              <w:jc w:val="center"/>
            </w:pPr>
            <w:r w:rsidRPr="004E2878">
              <w:rPr>
                <w:noProof/>
              </w:rPr>
              <w:t>1</w:t>
            </w:r>
          </w:p>
        </w:tc>
      </w:tr>
      <w:tr w:rsidR="00D64C38" w14:paraId="5953CD23" w14:textId="77777777" w:rsidTr="00D64C38">
        <w:trPr>
          <w:trHeight w:val="292"/>
          <w:tblHeader/>
          <w:jc w:val="center"/>
        </w:trPr>
        <w:tc>
          <w:tcPr>
            <w:tcW w:w="4306" w:type="dxa"/>
          </w:tcPr>
          <w:p w14:paraId="0391B8BF" w14:textId="50905C2B" w:rsidR="00D64C38" w:rsidRDefault="00D64C38" w:rsidP="00D64C38">
            <w:r w:rsidRPr="004E2878">
              <w:rPr>
                <w:noProof/>
              </w:rPr>
              <w:t>Bucks</w:t>
            </w:r>
          </w:p>
        </w:tc>
        <w:tc>
          <w:tcPr>
            <w:tcW w:w="1337" w:type="dxa"/>
            <w:vAlign w:val="center"/>
          </w:tcPr>
          <w:p w14:paraId="08692014" w14:textId="368ED2B5" w:rsidR="00D64C38" w:rsidRDefault="00D64C38" w:rsidP="00D64C38">
            <w:pPr>
              <w:jc w:val="center"/>
            </w:pPr>
            <w:r w:rsidRPr="004E2878">
              <w:rPr>
                <w:noProof/>
              </w:rPr>
              <w:t>3.4%</w:t>
            </w:r>
          </w:p>
        </w:tc>
        <w:tc>
          <w:tcPr>
            <w:tcW w:w="1171" w:type="dxa"/>
            <w:vAlign w:val="center"/>
          </w:tcPr>
          <w:p w14:paraId="44004494" w14:textId="1B8925A0" w:rsidR="00D64C38" w:rsidRDefault="00D64C38" w:rsidP="00D64C38">
            <w:pPr>
              <w:jc w:val="center"/>
            </w:pPr>
            <w:r w:rsidRPr="004E2878">
              <w:rPr>
                <w:noProof/>
              </w:rPr>
              <w:t>6</w:t>
            </w:r>
          </w:p>
        </w:tc>
      </w:tr>
      <w:tr w:rsidR="00D64C38" w14:paraId="16139176" w14:textId="77777777" w:rsidTr="00D64C38">
        <w:trPr>
          <w:trHeight w:val="292"/>
          <w:tblHeader/>
          <w:jc w:val="center"/>
        </w:trPr>
        <w:tc>
          <w:tcPr>
            <w:tcW w:w="4306" w:type="dxa"/>
          </w:tcPr>
          <w:p w14:paraId="7EF19CB7" w14:textId="4D2CADA5" w:rsidR="00D64C38" w:rsidRDefault="00D64C38" w:rsidP="00D64C38">
            <w:r w:rsidRPr="004E2878">
              <w:rPr>
                <w:noProof/>
              </w:rPr>
              <w:t>Butler</w:t>
            </w:r>
          </w:p>
        </w:tc>
        <w:tc>
          <w:tcPr>
            <w:tcW w:w="1337" w:type="dxa"/>
            <w:vAlign w:val="center"/>
          </w:tcPr>
          <w:p w14:paraId="161612FE" w14:textId="203641F2" w:rsidR="00D64C38" w:rsidRDefault="00D64C38" w:rsidP="00D64C38">
            <w:pPr>
              <w:jc w:val="center"/>
            </w:pPr>
            <w:r w:rsidRPr="004E2878">
              <w:rPr>
                <w:noProof/>
              </w:rPr>
              <w:t>0.6%</w:t>
            </w:r>
          </w:p>
        </w:tc>
        <w:tc>
          <w:tcPr>
            <w:tcW w:w="1171" w:type="dxa"/>
            <w:vAlign w:val="center"/>
          </w:tcPr>
          <w:p w14:paraId="67E34D26" w14:textId="77752378" w:rsidR="00D64C38" w:rsidRDefault="00D64C38" w:rsidP="00D64C38">
            <w:pPr>
              <w:jc w:val="center"/>
            </w:pPr>
            <w:r w:rsidRPr="004E2878">
              <w:rPr>
                <w:noProof/>
              </w:rPr>
              <w:t>1</w:t>
            </w:r>
          </w:p>
        </w:tc>
      </w:tr>
      <w:tr w:rsidR="00D64C38" w14:paraId="5F6026E6" w14:textId="77777777" w:rsidTr="00D64C38">
        <w:trPr>
          <w:trHeight w:val="292"/>
          <w:tblHeader/>
          <w:jc w:val="center"/>
        </w:trPr>
        <w:tc>
          <w:tcPr>
            <w:tcW w:w="4306" w:type="dxa"/>
          </w:tcPr>
          <w:p w14:paraId="503D8904" w14:textId="460E77F2" w:rsidR="00D64C38" w:rsidRDefault="00D64C38" w:rsidP="00D64C38">
            <w:r w:rsidRPr="004E2878">
              <w:rPr>
                <w:noProof/>
              </w:rPr>
              <w:t>Cambria</w:t>
            </w:r>
          </w:p>
        </w:tc>
        <w:tc>
          <w:tcPr>
            <w:tcW w:w="1337" w:type="dxa"/>
            <w:vAlign w:val="center"/>
          </w:tcPr>
          <w:p w14:paraId="63BE3990" w14:textId="5C8CB2BC" w:rsidR="00D64C38" w:rsidRDefault="00D64C38" w:rsidP="00D64C38">
            <w:pPr>
              <w:jc w:val="center"/>
            </w:pPr>
            <w:r w:rsidRPr="004E2878">
              <w:rPr>
                <w:noProof/>
              </w:rPr>
              <w:t>0.6%</w:t>
            </w:r>
          </w:p>
        </w:tc>
        <w:tc>
          <w:tcPr>
            <w:tcW w:w="1171" w:type="dxa"/>
            <w:vAlign w:val="center"/>
          </w:tcPr>
          <w:p w14:paraId="13B344B9" w14:textId="63DEA336" w:rsidR="00D64C38" w:rsidRDefault="00D64C38" w:rsidP="00D64C38">
            <w:pPr>
              <w:jc w:val="center"/>
            </w:pPr>
            <w:r w:rsidRPr="004E2878">
              <w:rPr>
                <w:noProof/>
              </w:rPr>
              <w:t>1</w:t>
            </w:r>
          </w:p>
        </w:tc>
      </w:tr>
      <w:tr w:rsidR="00D64C38" w14:paraId="0EF065AE" w14:textId="77777777" w:rsidTr="00D64C38">
        <w:trPr>
          <w:trHeight w:val="292"/>
          <w:tblHeader/>
          <w:jc w:val="center"/>
        </w:trPr>
        <w:tc>
          <w:tcPr>
            <w:tcW w:w="4306" w:type="dxa"/>
          </w:tcPr>
          <w:p w14:paraId="267B3A33" w14:textId="341C530F" w:rsidR="00D64C38" w:rsidRDefault="00D64C38" w:rsidP="00D64C38">
            <w:r w:rsidRPr="004E2878">
              <w:rPr>
                <w:noProof/>
              </w:rPr>
              <w:t>Carbon</w:t>
            </w:r>
          </w:p>
        </w:tc>
        <w:tc>
          <w:tcPr>
            <w:tcW w:w="1337" w:type="dxa"/>
            <w:vAlign w:val="center"/>
          </w:tcPr>
          <w:p w14:paraId="60746C40" w14:textId="1CB1BDA0" w:rsidR="00D64C38" w:rsidRDefault="00D64C38" w:rsidP="00D64C38">
            <w:pPr>
              <w:jc w:val="center"/>
            </w:pPr>
            <w:r w:rsidRPr="004E2878">
              <w:rPr>
                <w:noProof/>
              </w:rPr>
              <w:t>0.6%</w:t>
            </w:r>
          </w:p>
        </w:tc>
        <w:tc>
          <w:tcPr>
            <w:tcW w:w="1171" w:type="dxa"/>
            <w:vAlign w:val="center"/>
          </w:tcPr>
          <w:p w14:paraId="6D69CD28" w14:textId="6F2828C1" w:rsidR="00D64C38" w:rsidRDefault="00D64C38" w:rsidP="00D64C38">
            <w:pPr>
              <w:jc w:val="center"/>
            </w:pPr>
            <w:r w:rsidRPr="004E2878">
              <w:rPr>
                <w:noProof/>
              </w:rPr>
              <w:t>1</w:t>
            </w:r>
          </w:p>
        </w:tc>
      </w:tr>
      <w:tr w:rsidR="00D64C38" w14:paraId="0F04B9AC" w14:textId="77777777" w:rsidTr="00D64C38">
        <w:trPr>
          <w:trHeight w:val="292"/>
          <w:tblHeader/>
          <w:jc w:val="center"/>
        </w:trPr>
        <w:tc>
          <w:tcPr>
            <w:tcW w:w="4306" w:type="dxa"/>
          </w:tcPr>
          <w:p w14:paraId="518093A9" w14:textId="3DAB3F9D" w:rsidR="00D64C38" w:rsidRDefault="00D64C38" w:rsidP="00D64C38">
            <w:r w:rsidRPr="004E2878">
              <w:rPr>
                <w:noProof/>
              </w:rPr>
              <w:t>Chester</w:t>
            </w:r>
          </w:p>
        </w:tc>
        <w:tc>
          <w:tcPr>
            <w:tcW w:w="1337" w:type="dxa"/>
            <w:vAlign w:val="center"/>
          </w:tcPr>
          <w:p w14:paraId="4CAD9056" w14:textId="69C4691B" w:rsidR="00D64C38" w:rsidRDefault="00D64C38" w:rsidP="00D64C38">
            <w:pPr>
              <w:jc w:val="center"/>
            </w:pPr>
            <w:r w:rsidRPr="004E2878">
              <w:rPr>
                <w:noProof/>
              </w:rPr>
              <w:t>4.5%</w:t>
            </w:r>
          </w:p>
        </w:tc>
        <w:tc>
          <w:tcPr>
            <w:tcW w:w="1171" w:type="dxa"/>
            <w:vAlign w:val="center"/>
          </w:tcPr>
          <w:p w14:paraId="39871A32" w14:textId="72B061A8" w:rsidR="00D64C38" w:rsidRDefault="00D64C38" w:rsidP="00D64C38">
            <w:pPr>
              <w:jc w:val="center"/>
            </w:pPr>
            <w:r w:rsidRPr="004E2878">
              <w:rPr>
                <w:noProof/>
              </w:rPr>
              <w:t>8</w:t>
            </w:r>
          </w:p>
        </w:tc>
      </w:tr>
      <w:tr w:rsidR="00D64C38" w14:paraId="546A6DA8" w14:textId="77777777" w:rsidTr="00D64C38">
        <w:trPr>
          <w:trHeight w:val="292"/>
          <w:tblHeader/>
          <w:jc w:val="center"/>
        </w:trPr>
        <w:tc>
          <w:tcPr>
            <w:tcW w:w="4306" w:type="dxa"/>
          </w:tcPr>
          <w:p w14:paraId="042C3A3A" w14:textId="6DB449B7" w:rsidR="00D64C38" w:rsidRDefault="00D64C38" w:rsidP="00D64C38">
            <w:r w:rsidRPr="004E2878">
              <w:rPr>
                <w:noProof/>
              </w:rPr>
              <w:t>Cumberland</w:t>
            </w:r>
          </w:p>
        </w:tc>
        <w:tc>
          <w:tcPr>
            <w:tcW w:w="1337" w:type="dxa"/>
            <w:vAlign w:val="center"/>
          </w:tcPr>
          <w:p w14:paraId="2FC27A12" w14:textId="2F0123AD" w:rsidR="00D64C38" w:rsidRDefault="00D64C38" w:rsidP="00D64C38">
            <w:pPr>
              <w:jc w:val="center"/>
            </w:pPr>
            <w:r w:rsidRPr="004E2878">
              <w:rPr>
                <w:noProof/>
              </w:rPr>
              <w:t>1.1%</w:t>
            </w:r>
          </w:p>
        </w:tc>
        <w:tc>
          <w:tcPr>
            <w:tcW w:w="1171" w:type="dxa"/>
            <w:vAlign w:val="center"/>
          </w:tcPr>
          <w:p w14:paraId="52D1C474" w14:textId="739F5972" w:rsidR="00D64C38" w:rsidRDefault="00D64C38" w:rsidP="00D64C38">
            <w:pPr>
              <w:jc w:val="center"/>
            </w:pPr>
            <w:r w:rsidRPr="004E2878">
              <w:rPr>
                <w:noProof/>
              </w:rPr>
              <w:t>2</w:t>
            </w:r>
          </w:p>
        </w:tc>
      </w:tr>
      <w:tr w:rsidR="00D64C38" w14:paraId="38D3E161" w14:textId="77777777" w:rsidTr="00D64C38">
        <w:trPr>
          <w:trHeight w:val="292"/>
          <w:tblHeader/>
          <w:jc w:val="center"/>
        </w:trPr>
        <w:tc>
          <w:tcPr>
            <w:tcW w:w="4306" w:type="dxa"/>
          </w:tcPr>
          <w:p w14:paraId="15ADA32E" w14:textId="387CEFF6" w:rsidR="00D64C38" w:rsidRDefault="00D64C38" w:rsidP="00D64C38">
            <w:r w:rsidRPr="004E2878">
              <w:rPr>
                <w:noProof/>
              </w:rPr>
              <w:t>Dauphin</w:t>
            </w:r>
          </w:p>
        </w:tc>
        <w:tc>
          <w:tcPr>
            <w:tcW w:w="1337" w:type="dxa"/>
            <w:vAlign w:val="center"/>
          </w:tcPr>
          <w:p w14:paraId="4159DA47" w14:textId="59C268C8" w:rsidR="00D64C38" w:rsidRDefault="00D64C38" w:rsidP="00D64C38">
            <w:pPr>
              <w:jc w:val="center"/>
            </w:pPr>
            <w:r w:rsidRPr="004E2878">
              <w:rPr>
                <w:noProof/>
              </w:rPr>
              <w:t>1.7%</w:t>
            </w:r>
          </w:p>
        </w:tc>
        <w:tc>
          <w:tcPr>
            <w:tcW w:w="1171" w:type="dxa"/>
            <w:vAlign w:val="center"/>
          </w:tcPr>
          <w:p w14:paraId="2F17A2F8" w14:textId="43376E83" w:rsidR="00D64C38" w:rsidRDefault="00D64C38" w:rsidP="00D64C38">
            <w:pPr>
              <w:jc w:val="center"/>
            </w:pPr>
            <w:r w:rsidRPr="004E2878">
              <w:rPr>
                <w:noProof/>
              </w:rPr>
              <w:t>3</w:t>
            </w:r>
          </w:p>
        </w:tc>
      </w:tr>
      <w:tr w:rsidR="00D64C38" w14:paraId="26B7D5E2" w14:textId="77777777" w:rsidTr="00D64C38">
        <w:trPr>
          <w:trHeight w:val="292"/>
          <w:tblHeader/>
          <w:jc w:val="center"/>
        </w:trPr>
        <w:tc>
          <w:tcPr>
            <w:tcW w:w="4306" w:type="dxa"/>
          </w:tcPr>
          <w:p w14:paraId="11DE5AF2" w14:textId="2C0E7B39" w:rsidR="00D64C38" w:rsidRDefault="00D64C38" w:rsidP="00D64C38">
            <w:r w:rsidRPr="004E2878">
              <w:rPr>
                <w:noProof/>
              </w:rPr>
              <w:t>Delaware</w:t>
            </w:r>
          </w:p>
        </w:tc>
        <w:tc>
          <w:tcPr>
            <w:tcW w:w="1337" w:type="dxa"/>
            <w:vAlign w:val="center"/>
          </w:tcPr>
          <w:p w14:paraId="1A53B4B5" w14:textId="123A9EB2" w:rsidR="00D64C38" w:rsidRDefault="00D64C38" w:rsidP="00D64C38">
            <w:pPr>
              <w:jc w:val="center"/>
            </w:pPr>
            <w:r w:rsidRPr="004E2878">
              <w:rPr>
                <w:noProof/>
              </w:rPr>
              <w:t>5.6%</w:t>
            </w:r>
          </w:p>
        </w:tc>
        <w:tc>
          <w:tcPr>
            <w:tcW w:w="1171" w:type="dxa"/>
            <w:vAlign w:val="center"/>
          </w:tcPr>
          <w:p w14:paraId="18483F79" w14:textId="40977A6C" w:rsidR="00D64C38" w:rsidRDefault="00D64C38" w:rsidP="00D64C38">
            <w:pPr>
              <w:jc w:val="center"/>
            </w:pPr>
            <w:r w:rsidRPr="004E2878">
              <w:rPr>
                <w:noProof/>
              </w:rPr>
              <w:t>10</w:t>
            </w:r>
          </w:p>
        </w:tc>
      </w:tr>
      <w:tr w:rsidR="00D64C38" w14:paraId="030B1C3D" w14:textId="77777777" w:rsidTr="00D64C38">
        <w:trPr>
          <w:trHeight w:val="292"/>
          <w:tblHeader/>
          <w:jc w:val="center"/>
        </w:trPr>
        <w:tc>
          <w:tcPr>
            <w:tcW w:w="4306" w:type="dxa"/>
          </w:tcPr>
          <w:p w14:paraId="01D6EA28" w14:textId="4299FECB" w:rsidR="00D64C38" w:rsidRDefault="00D64C38" w:rsidP="00D64C38">
            <w:r w:rsidRPr="004E2878">
              <w:rPr>
                <w:noProof/>
              </w:rPr>
              <w:t>Elk</w:t>
            </w:r>
          </w:p>
        </w:tc>
        <w:tc>
          <w:tcPr>
            <w:tcW w:w="1337" w:type="dxa"/>
            <w:vAlign w:val="center"/>
          </w:tcPr>
          <w:p w14:paraId="2CE1A1A7" w14:textId="6DE6C490" w:rsidR="00D64C38" w:rsidRDefault="00D64C38" w:rsidP="00D64C38">
            <w:pPr>
              <w:jc w:val="center"/>
            </w:pPr>
            <w:r w:rsidRPr="004E2878">
              <w:rPr>
                <w:noProof/>
              </w:rPr>
              <w:t>0.6%</w:t>
            </w:r>
          </w:p>
        </w:tc>
        <w:tc>
          <w:tcPr>
            <w:tcW w:w="1171" w:type="dxa"/>
            <w:vAlign w:val="center"/>
          </w:tcPr>
          <w:p w14:paraId="67034215" w14:textId="0E404B1E" w:rsidR="00D64C38" w:rsidRDefault="00D64C38" w:rsidP="00D64C38">
            <w:pPr>
              <w:jc w:val="center"/>
            </w:pPr>
            <w:r w:rsidRPr="004E2878">
              <w:rPr>
                <w:noProof/>
              </w:rPr>
              <w:t>1</w:t>
            </w:r>
          </w:p>
        </w:tc>
      </w:tr>
      <w:tr w:rsidR="00D64C38" w14:paraId="701E5ED9" w14:textId="77777777" w:rsidTr="00D64C38">
        <w:trPr>
          <w:trHeight w:val="292"/>
          <w:tblHeader/>
          <w:jc w:val="center"/>
        </w:trPr>
        <w:tc>
          <w:tcPr>
            <w:tcW w:w="4306" w:type="dxa"/>
          </w:tcPr>
          <w:p w14:paraId="38A2152E" w14:textId="28D0775B" w:rsidR="00D64C38" w:rsidRDefault="00D64C38" w:rsidP="00D64C38">
            <w:r w:rsidRPr="004E2878">
              <w:rPr>
                <w:noProof/>
              </w:rPr>
              <w:t>Erie</w:t>
            </w:r>
          </w:p>
        </w:tc>
        <w:tc>
          <w:tcPr>
            <w:tcW w:w="1337" w:type="dxa"/>
            <w:vAlign w:val="center"/>
          </w:tcPr>
          <w:p w14:paraId="3D134A1F" w14:textId="490FC777" w:rsidR="00D64C38" w:rsidRDefault="00D64C38" w:rsidP="00D64C38">
            <w:pPr>
              <w:jc w:val="center"/>
            </w:pPr>
            <w:r w:rsidRPr="004E2878">
              <w:rPr>
                <w:noProof/>
              </w:rPr>
              <w:t>1.7%</w:t>
            </w:r>
          </w:p>
        </w:tc>
        <w:tc>
          <w:tcPr>
            <w:tcW w:w="1171" w:type="dxa"/>
            <w:vAlign w:val="center"/>
          </w:tcPr>
          <w:p w14:paraId="280F5AE2" w14:textId="538E751F" w:rsidR="00D64C38" w:rsidRDefault="00D64C38" w:rsidP="00D64C38">
            <w:pPr>
              <w:jc w:val="center"/>
            </w:pPr>
            <w:r w:rsidRPr="004E2878">
              <w:rPr>
                <w:noProof/>
              </w:rPr>
              <w:t>3</w:t>
            </w:r>
          </w:p>
        </w:tc>
      </w:tr>
      <w:tr w:rsidR="00D64C38" w14:paraId="1AA33443" w14:textId="77777777" w:rsidTr="00D64C38">
        <w:trPr>
          <w:trHeight w:val="292"/>
          <w:tblHeader/>
          <w:jc w:val="center"/>
        </w:trPr>
        <w:tc>
          <w:tcPr>
            <w:tcW w:w="4306" w:type="dxa"/>
          </w:tcPr>
          <w:p w14:paraId="3BF9149F" w14:textId="607FAE15" w:rsidR="00D64C38" w:rsidRDefault="00D64C38" w:rsidP="00D64C38">
            <w:r w:rsidRPr="004E2878">
              <w:rPr>
                <w:noProof/>
              </w:rPr>
              <w:t>Fayette</w:t>
            </w:r>
          </w:p>
        </w:tc>
        <w:tc>
          <w:tcPr>
            <w:tcW w:w="1337" w:type="dxa"/>
            <w:vAlign w:val="center"/>
          </w:tcPr>
          <w:p w14:paraId="5D98F772" w14:textId="7D640382" w:rsidR="00D64C38" w:rsidRDefault="00D64C38" w:rsidP="00D64C38">
            <w:pPr>
              <w:jc w:val="center"/>
            </w:pPr>
            <w:r w:rsidRPr="004E2878">
              <w:rPr>
                <w:noProof/>
              </w:rPr>
              <w:t>0.6%</w:t>
            </w:r>
          </w:p>
        </w:tc>
        <w:tc>
          <w:tcPr>
            <w:tcW w:w="1171" w:type="dxa"/>
            <w:vAlign w:val="center"/>
          </w:tcPr>
          <w:p w14:paraId="5059A887" w14:textId="1B2FFB15" w:rsidR="00D64C38" w:rsidRDefault="00D64C38" w:rsidP="00D64C38">
            <w:pPr>
              <w:jc w:val="center"/>
            </w:pPr>
            <w:r w:rsidRPr="004E2878">
              <w:rPr>
                <w:noProof/>
              </w:rPr>
              <w:t>1</w:t>
            </w:r>
          </w:p>
        </w:tc>
      </w:tr>
      <w:tr w:rsidR="00D64C38" w14:paraId="2F380B7B" w14:textId="77777777" w:rsidTr="00D64C38">
        <w:trPr>
          <w:trHeight w:val="292"/>
          <w:tblHeader/>
          <w:jc w:val="center"/>
        </w:trPr>
        <w:tc>
          <w:tcPr>
            <w:tcW w:w="4306" w:type="dxa"/>
          </w:tcPr>
          <w:p w14:paraId="51646353" w14:textId="1D46352C" w:rsidR="00D64C38" w:rsidRDefault="00D64C38" w:rsidP="00D64C38">
            <w:r w:rsidRPr="004E2878">
              <w:rPr>
                <w:noProof/>
              </w:rPr>
              <w:t>Franklin</w:t>
            </w:r>
          </w:p>
        </w:tc>
        <w:tc>
          <w:tcPr>
            <w:tcW w:w="1337" w:type="dxa"/>
            <w:vAlign w:val="center"/>
          </w:tcPr>
          <w:p w14:paraId="1343515E" w14:textId="00E785EC" w:rsidR="00D64C38" w:rsidRDefault="00D64C38" w:rsidP="00D64C38">
            <w:pPr>
              <w:jc w:val="center"/>
            </w:pPr>
            <w:r w:rsidRPr="004E2878">
              <w:rPr>
                <w:noProof/>
              </w:rPr>
              <w:t>2.3%</w:t>
            </w:r>
          </w:p>
        </w:tc>
        <w:tc>
          <w:tcPr>
            <w:tcW w:w="1171" w:type="dxa"/>
            <w:vAlign w:val="center"/>
          </w:tcPr>
          <w:p w14:paraId="189535A7" w14:textId="1AC01FC9" w:rsidR="00D64C38" w:rsidRDefault="00D64C38" w:rsidP="00D64C38">
            <w:pPr>
              <w:jc w:val="center"/>
            </w:pPr>
            <w:r w:rsidRPr="004E2878">
              <w:rPr>
                <w:noProof/>
              </w:rPr>
              <w:t>4</w:t>
            </w:r>
          </w:p>
        </w:tc>
      </w:tr>
      <w:tr w:rsidR="00D64C38" w14:paraId="6AE173C0" w14:textId="77777777" w:rsidTr="00D64C38">
        <w:trPr>
          <w:trHeight w:val="292"/>
          <w:tblHeader/>
          <w:jc w:val="center"/>
        </w:trPr>
        <w:tc>
          <w:tcPr>
            <w:tcW w:w="4306" w:type="dxa"/>
          </w:tcPr>
          <w:p w14:paraId="472BA159" w14:textId="29728EC9" w:rsidR="00D64C38" w:rsidRDefault="00D64C38" w:rsidP="00D64C38">
            <w:r w:rsidRPr="004E2878">
              <w:rPr>
                <w:noProof/>
              </w:rPr>
              <w:t>Juniata</w:t>
            </w:r>
          </w:p>
        </w:tc>
        <w:tc>
          <w:tcPr>
            <w:tcW w:w="1337" w:type="dxa"/>
            <w:vAlign w:val="center"/>
          </w:tcPr>
          <w:p w14:paraId="6FD99BDC" w14:textId="4D094D3B" w:rsidR="00D64C38" w:rsidRDefault="00D64C38" w:rsidP="00D64C38">
            <w:pPr>
              <w:jc w:val="center"/>
            </w:pPr>
            <w:r w:rsidRPr="004E2878">
              <w:rPr>
                <w:noProof/>
              </w:rPr>
              <w:t>0.6%</w:t>
            </w:r>
          </w:p>
        </w:tc>
        <w:tc>
          <w:tcPr>
            <w:tcW w:w="1171" w:type="dxa"/>
            <w:vAlign w:val="center"/>
          </w:tcPr>
          <w:p w14:paraId="0A3D4089" w14:textId="57901C9D" w:rsidR="00D64C38" w:rsidRDefault="00D64C38" w:rsidP="00D64C38">
            <w:pPr>
              <w:jc w:val="center"/>
            </w:pPr>
            <w:r w:rsidRPr="004E2878">
              <w:rPr>
                <w:noProof/>
              </w:rPr>
              <w:t>1</w:t>
            </w:r>
          </w:p>
        </w:tc>
      </w:tr>
      <w:tr w:rsidR="00D64C38" w14:paraId="28A4B414" w14:textId="77777777" w:rsidTr="00D64C38">
        <w:trPr>
          <w:trHeight w:val="292"/>
          <w:tblHeader/>
          <w:jc w:val="center"/>
        </w:trPr>
        <w:tc>
          <w:tcPr>
            <w:tcW w:w="4306" w:type="dxa"/>
          </w:tcPr>
          <w:p w14:paraId="5018F903" w14:textId="2ADC7888" w:rsidR="00D64C38" w:rsidRDefault="00D64C38" w:rsidP="00D64C38">
            <w:r w:rsidRPr="004E2878">
              <w:rPr>
                <w:noProof/>
              </w:rPr>
              <w:t>Lackawanna</w:t>
            </w:r>
          </w:p>
        </w:tc>
        <w:tc>
          <w:tcPr>
            <w:tcW w:w="1337" w:type="dxa"/>
            <w:vAlign w:val="center"/>
          </w:tcPr>
          <w:p w14:paraId="6915D017" w14:textId="78E4A780" w:rsidR="00D64C38" w:rsidRDefault="00D64C38" w:rsidP="00D64C38">
            <w:pPr>
              <w:jc w:val="center"/>
            </w:pPr>
            <w:r w:rsidRPr="004E2878">
              <w:rPr>
                <w:noProof/>
              </w:rPr>
              <w:t>0.6%</w:t>
            </w:r>
          </w:p>
        </w:tc>
        <w:tc>
          <w:tcPr>
            <w:tcW w:w="1171" w:type="dxa"/>
            <w:vAlign w:val="center"/>
          </w:tcPr>
          <w:p w14:paraId="04DCE0B2" w14:textId="4EA68E86" w:rsidR="00D64C38" w:rsidRDefault="00D64C38" w:rsidP="00D64C38">
            <w:pPr>
              <w:jc w:val="center"/>
            </w:pPr>
            <w:r w:rsidRPr="004E2878">
              <w:rPr>
                <w:noProof/>
              </w:rPr>
              <w:t>1</w:t>
            </w:r>
          </w:p>
        </w:tc>
      </w:tr>
      <w:tr w:rsidR="00D64C38" w14:paraId="27E34BBE" w14:textId="77777777" w:rsidTr="00D64C38">
        <w:trPr>
          <w:trHeight w:val="292"/>
          <w:tblHeader/>
          <w:jc w:val="center"/>
        </w:trPr>
        <w:tc>
          <w:tcPr>
            <w:tcW w:w="4306" w:type="dxa"/>
          </w:tcPr>
          <w:p w14:paraId="637C35AE" w14:textId="6708C621" w:rsidR="00D64C38" w:rsidRDefault="00D64C38" w:rsidP="00D64C38">
            <w:r w:rsidRPr="004E2878">
              <w:rPr>
                <w:noProof/>
              </w:rPr>
              <w:t>Lancaster</w:t>
            </w:r>
          </w:p>
        </w:tc>
        <w:tc>
          <w:tcPr>
            <w:tcW w:w="1337" w:type="dxa"/>
            <w:vAlign w:val="center"/>
          </w:tcPr>
          <w:p w14:paraId="2F243266" w14:textId="76FAC159" w:rsidR="00D64C38" w:rsidRDefault="00D64C38" w:rsidP="00D64C38">
            <w:pPr>
              <w:jc w:val="center"/>
            </w:pPr>
            <w:r w:rsidRPr="004E2878">
              <w:rPr>
                <w:noProof/>
              </w:rPr>
              <w:t>7.9%</w:t>
            </w:r>
          </w:p>
        </w:tc>
        <w:tc>
          <w:tcPr>
            <w:tcW w:w="1171" w:type="dxa"/>
            <w:vAlign w:val="center"/>
          </w:tcPr>
          <w:p w14:paraId="1AAE32E5" w14:textId="66B67C33" w:rsidR="00D64C38" w:rsidRDefault="00D64C38" w:rsidP="00D64C38">
            <w:pPr>
              <w:jc w:val="center"/>
            </w:pPr>
            <w:r w:rsidRPr="004E2878">
              <w:rPr>
                <w:noProof/>
              </w:rPr>
              <w:t>14</w:t>
            </w:r>
          </w:p>
        </w:tc>
      </w:tr>
      <w:tr w:rsidR="00D64C38" w14:paraId="373BDCAC" w14:textId="77777777" w:rsidTr="00D64C38">
        <w:trPr>
          <w:trHeight w:val="292"/>
          <w:tblHeader/>
          <w:jc w:val="center"/>
        </w:trPr>
        <w:tc>
          <w:tcPr>
            <w:tcW w:w="4306" w:type="dxa"/>
          </w:tcPr>
          <w:p w14:paraId="573AA079" w14:textId="56A5E031" w:rsidR="00D64C38" w:rsidRDefault="00D64C38" w:rsidP="00D64C38">
            <w:r w:rsidRPr="004E2878">
              <w:rPr>
                <w:noProof/>
              </w:rPr>
              <w:t>Lawrence</w:t>
            </w:r>
          </w:p>
        </w:tc>
        <w:tc>
          <w:tcPr>
            <w:tcW w:w="1337" w:type="dxa"/>
            <w:vAlign w:val="center"/>
          </w:tcPr>
          <w:p w14:paraId="7F2B2502" w14:textId="0CD86A3F" w:rsidR="00D64C38" w:rsidRDefault="00D64C38" w:rsidP="00D64C38">
            <w:pPr>
              <w:jc w:val="center"/>
            </w:pPr>
            <w:r w:rsidRPr="004E2878">
              <w:rPr>
                <w:noProof/>
              </w:rPr>
              <w:t>1.1%</w:t>
            </w:r>
          </w:p>
        </w:tc>
        <w:tc>
          <w:tcPr>
            <w:tcW w:w="1171" w:type="dxa"/>
            <w:vAlign w:val="center"/>
          </w:tcPr>
          <w:p w14:paraId="3537C2E0" w14:textId="01C7A259" w:rsidR="00D64C38" w:rsidRDefault="00D64C38" w:rsidP="00D64C38">
            <w:pPr>
              <w:jc w:val="center"/>
            </w:pPr>
            <w:r w:rsidRPr="004E2878">
              <w:rPr>
                <w:noProof/>
              </w:rPr>
              <w:t>2</w:t>
            </w:r>
          </w:p>
        </w:tc>
      </w:tr>
      <w:tr w:rsidR="00D64C38" w14:paraId="5B1AF2AF" w14:textId="77777777" w:rsidTr="00D64C38">
        <w:trPr>
          <w:trHeight w:val="292"/>
          <w:tblHeader/>
          <w:jc w:val="center"/>
        </w:trPr>
        <w:tc>
          <w:tcPr>
            <w:tcW w:w="4306" w:type="dxa"/>
          </w:tcPr>
          <w:p w14:paraId="4833A989" w14:textId="34968979" w:rsidR="00D64C38" w:rsidRDefault="00D64C38" w:rsidP="00D64C38">
            <w:r w:rsidRPr="004E2878">
              <w:rPr>
                <w:noProof/>
              </w:rPr>
              <w:t>Lebanon</w:t>
            </w:r>
          </w:p>
        </w:tc>
        <w:tc>
          <w:tcPr>
            <w:tcW w:w="1337" w:type="dxa"/>
            <w:vAlign w:val="center"/>
          </w:tcPr>
          <w:p w14:paraId="00FBC198" w14:textId="6570B08D" w:rsidR="00D64C38" w:rsidRDefault="00D64C38" w:rsidP="00D64C38">
            <w:pPr>
              <w:jc w:val="center"/>
            </w:pPr>
            <w:r w:rsidRPr="004E2878">
              <w:rPr>
                <w:noProof/>
              </w:rPr>
              <w:t>0.6%</w:t>
            </w:r>
          </w:p>
        </w:tc>
        <w:tc>
          <w:tcPr>
            <w:tcW w:w="1171" w:type="dxa"/>
            <w:vAlign w:val="center"/>
          </w:tcPr>
          <w:p w14:paraId="553E8902" w14:textId="62ABE06F" w:rsidR="00D64C38" w:rsidRDefault="00D64C38" w:rsidP="00D64C38">
            <w:pPr>
              <w:jc w:val="center"/>
            </w:pPr>
            <w:r w:rsidRPr="004E2878">
              <w:rPr>
                <w:noProof/>
              </w:rPr>
              <w:t>1</w:t>
            </w:r>
          </w:p>
        </w:tc>
      </w:tr>
      <w:tr w:rsidR="00D64C38" w14:paraId="0D8F42A1" w14:textId="77777777" w:rsidTr="00D64C38">
        <w:trPr>
          <w:trHeight w:val="292"/>
          <w:tblHeader/>
          <w:jc w:val="center"/>
        </w:trPr>
        <w:tc>
          <w:tcPr>
            <w:tcW w:w="4306" w:type="dxa"/>
          </w:tcPr>
          <w:p w14:paraId="1701D228" w14:textId="0E24C05A" w:rsidR="00D64C38" w:rsidRDefault="00D64C38" w:rsidP="00D64C38">
            <w:r w:rsidRPr="004E2878">
              <w:rPr>
                <w:noProof/>
              </w:rPr>
              <w:t>Lehigh</w:t>
            </w:r>
          </w:p>
        </w:tc>
        <w:tc>
          <w:tcPr>
            <w:tcW w:w="1337" w:type="dxa"/>
            <w:vAlign w:val="center"/>
          </w:tcPr>
          <w:p w14:paraId="3BE811D0" w14:textId="2F31FDDF" w:rsidR="00D64C38" w:rsidRDefault="00D64C38" w:rsidP="00D64C38">
            <w:pPr>
              <w:jc w:val="center"/>
            </w:pPr>
            <w:r w:rsidRPr="004E2878">
              <w:rPr>
                <w:noProof/>
              </w:rPr>
              <w:t>0.6%</w:t>
            </w:r>
          </w:p>
        </w:tc>
        <w:tc>
          <w:tcPr>
            <w:tcW w:w="1171" w:type="dxa"/>
            <w:vAlign w:val="center"/>
          </w:tcPr>
          <w:p w14:paraId="510024C4" w14:textId="76CDF3B1" w:rsidR="00D64C38" w:rsidRDefault="00D64C38" w:rsidP="00D64C38">
            <w:pPr>
              <w:jc w:val="center"/>
            </w:pPr>
            <w:r w:rsidRPr="004E2878">
              <w:rPr>
                <w:noProof/>
              </w:rPr>
              <w:t>1</w:t>
            </w:r>
          </w:p>
        </w:tc>
      </w:tr>
      <w:tr w:rsidR="00D64C38" w14:paraId="3677DFDF" w14:textId="77777777" w:rsidTr="00D64C38">
        <w:trPr>
          <w:trHeight w:val="292"/>
          <w:tblHeader/>
          <w:jc w:val="center"/>
        </w:trPr>
        <w:tc>
          <w:tcPr>
            <w:tcW w:w="4306" w:type="dxa"/>
          </w:tcPr>
          <w:p w14:paraId="6FDCB163" w14:textId="32F3E48F" w:rsidR="00D64C38" w:rsidRDefault="00D64C38" w:rsidP="00D64C38">
            <w:r w:rsidRPr="004E2878">
              <w:rPr>
                <w:noProof/>
              </w:rPr>
              <w:t>Luzerne</w:t>
            </w:r>
          </w:p>
        </w:tc>
        <w:tc>
          <w:tcPr>
            <w:tcW w:w="1337" w:type="dxa"/>
            <w:vAlign w:val="center"/>
          </w:tcPr>
          <w:p w14:paraId="008E0832" w14:textId="2BE51606" w:rsidR="00D64C38" w:rsidRDefault="00D64C38" w:rsidP="00D64C38">
            <w:pPr>
              <w:jc w:val="center"/>
            </w:pPr>
            <w:r w:rsidRPr="004E2878">
              <w:rPr>
                <w:noProof/>
              </w:rPr>
              <w:t>1.7%</w:t>
            </w:r>
          </w:p>
        </w:tc>
        <w:tc>
          <w:tcPr>
            <w:tcW w:w="1171" w:type="dxa"/>
            <w:vAlign w:val="center"/>
          </w:tcPr>
          <w:p w14:paraId="63DD28EC" w14:textId="560AB753" w:rsidR="00D64C38" w:rsidRDefault="00D64C38" w:rsidP="00D64C38">
            <w:pPr>
              <w:jc w:val="center"/>
            </w:pPr>
            <w:r w:rsidRPr="004E2878">
              <w:rPr>
                <w:noProof/>
              </w:rPr>
              <w:t>3</w:t>
            </w:r>
          </w:p>
        </w:tc>
      </w:tr>
      <w:tr w:rsidR="00D64C38" w14:paraId="0931FAB3" w14:textId="77777777" w:rsidTr="00D64C38">
        <w:trPr>
          <w:trHeight w:val="292"/>
          <w:tblHeader/>
          <w:jc w:val="center"/>
        </w:trPr>
        <w:tc>
          <w:tcPr>
            <w:tcW w:w="4306" w:type="dxa"/>
          </w:tcPr>
          <w:p w14:paraId="6B7261C5" w14:textId="51940DB3" w:rsidR="00D64C38" w:rsidRDefault="00D64C38" w:rsidP="00D64C38">
            <w:r w:rsidRPr="004E2878">
              <w:rPr>
                <w:noProof/>
              </w:rPr>
              <w:t>Lycoming</w:t>
            </w:r>
          </w:p>
        </w:tc>
        <w:tc>
          <w:tcPr>
            <w:tcW w:w="1337" w:type="dxa"/>
            <w:vAlign w:val="center"/>
          </w:tcPr>
          <w:p w14:paraId="1E1DA03B" w14:textId="0E8ABEFF" w:rsidR="00D64C38" w:rsidRDefault="00D64C38" w:rsidP="00D64C38">
            <w:pPr>
              <w:jc w:val="center"/>
            </w:pPr>
            <w:r w:rsidRPr="004E2878">
              <w:rPr>
                <w:noProof/>
              </w:rPr>
              <w:t>2.3%</w:t>
            </w:r>
          </w:p>
        </w:tc>
        <w:tc>
          <w:tcPr>
            <w:tcW w:w="1171" w:type="dxa"/>
            <w:vAlign w:val="center"/>
          </w:tcPr>
          <w:p w14:paraId="7198AD01" w14:textId="7427C5E3" w:rsidR="00D64C38" w:rsidRDefault="00D64C38" w:rsidP="00D64C38">
            <w:pPr>
              <w:jc w:val="center"/>
            </w:pPr>
            <w:r w:rsidRPr="004E2878">
              <w:rPr>
                <w:noProof/>
              </w:rPr>
              <w:t>4</w:t>
            </w:r>
          </w:p>
        </w:tc>
      </w:tr>
      <w:tr w:rsidR="00D64C38" w14:paraId="74E2CBCF" w14:textId="77777777" w:rsidTr="00D64C38">
        <w:trPr>
          <w:trHeight w:val="292"/>
          <w:tblHeader/>
          <w:jc w:val="center"/>
        </w:trPr>
        <w:tc>
          <w:tcPr>
            <w:tcW w:w="4306" w:type="dxa"/>
          </w:tcPr>
          <w:p w14:paraId="6A5B3C92" w14:textId="37DE7E5E" w:rsidR="00D64C38" w:rsidRDefault="00D64C38" w:rsidP="00D64C38">
            <w:r w:rsidRPr="004E2878">
              <w:rPr>
                <w:noProof/>
              </w:rPr>
              <w:t>McKean</w:t>
            </w:r>
          </w:p>
        </w:tc>
        <w:tc>
          <w:tcPr>
            <w:tcW w:w="1337" w:type="dxa"/>
            <w:vAlign w:val="center"/>
          </w:tcPr>
          <w:p w14:paraId="492F9BEF" w14:textId="7BCDF5CE" w:rsidR="00D64C38" w:rsidRDefault="00D64C38" w:rsidP="00D64C38">
            <w:pPr>
              <w:jc w:val="center"/>
            </w:pPr>
            <w:r w:rsidRPr="004E2878">
              <w:rPr>
                <w:noProof/>
              </w:rPr>
              <w:t>1.1%</w:t>
            </w:r>
          </w:p>
        </w:tc>
        <w:tc>
          <w:tcPr>
            <w:tcW w:w="1171" w:type="dxa"/>
            <w:vAlign w:val="center"/>
          </w:tcPr>
          <w:p w14:paraId="427DF312" w14:textId="34DF9465" w:rsidR="00D64C38" w:rsidRDefault="00D64C38" w:rsidP="00D64C38">
            <w:pPr>
              <w:jc w:val="center"/>
            </w:pPr>
            <w:r w:rsidRPr="004E2878">
              <w:rPr>
                <w:noProof/>
              </w:rPr>
              <w:t>2</w:t>
            </w:r>
          </w:p>
        </w:tc>
      </w:tr>
      <w:tr w:rsidR="00D64C38" w14:paraId="547D7D09" w14:textId="77777777" w:rsidTr="00D64C38">
        <w:trPr>
          <w:trHeight w:val="292"/>
          <w:tblHeader/>
          <w:jc w:val="center"/>
        </w:trPr>
        <w:tc>
          <w:tcPr>
            <w:tcW w:w="4306" w:type="dxa"/>
          </w:tcPr>
          <w:p w14:paraId="56005983" w14:textId="6DA2BD07" w:rsidR="00D64C38" w:rsidRDefault="00D64C38" w:rsidP="00D64C38">
            <w:r w:rsidRPr="004E2878">
              <w:rPr>
                <w:noProof/>
              </w:rPr>
              <w:t>Montgomery</w:t>
            </w:r>
          </w:p>
        </w:tc>
        <w:tc>
          <w:tcPr>
            <w:tcW w:w="1337" w:type="dxa"/>
            <w:vAlign w:val="center"/>
          </w:tcPr>
          <w:p w14:paraId="6676CC75" w14:textId="275BD061" w:rsidR="00D64C38" w:rsidRDefault="00D64C38" w:rsidP="00D64C38">
            <w:pPr>
              <w:jc w:val="center"/>
            </w:pPr>
            <w:r w:rsidRPr="004E2878">
              <w:rPr>
                <w:noProof/>
              </w:rPr>
              <w:t>9.0%</w:t>
            </w:r>
          </w:p>
        </w:tc>
        <w:tc>
          <w:tcPr>
            <w:tcW w:w="1171" w:type="dxa"/>
            <w:vAlign w:val="center"/>
          </w:tcPr>
          <w:p w14:paraId="768E847C" w14:textId="004CB525" w:rsidR="00D64C38" w:rsidRDefault="00D64C38" w:rsidP="00D64C38">
            <w:pPr>
              <w:jc w:val="center"/>
            </w:pPr>
            <w:r w:rsidRPr="004E2878">
              <w:rPr>
                <w:noProof/>
              </w:rPr>
              <w:t>16</w:t>
            </w:r>
          </w:p>
        </w:tc>
      </w:tr>
      <w:tr w:rsidR="00D64C38" w14:paraId="27DDC3EE" w14:textId="77777777" w:rsidTr="00D64C38">
        <w:trPr>
          <w:trHeight w:val="292"/>
          <w:tblHeader/>
          <w:jc w:val="center"/>
        </w:trPr>
        <w:tc>
          <w:tcPr>
            <w:tcW w:w="4306" w:type="dxa"/>
          </w:tcPr>
          <w:p w14:paraId="2CA6BA8B" w14:textId="173AB06E" w:rsidR="00D64C38" w:rsidRDefault="00D64C38" w:rsidP="00D64C38">
            <w:r w:rsidRPr="004E2878">
              <w:rPr>
                <w:noProof/>
              </w:rPr>
              <w:t>Northampton</w:t>
            </w:r>
          </w:p>
        </w:tc>
        <w:tc>
          <w:tcPr>
            <w:tcW w:w="1337" w:type="dxa"/>
            <w:vAlign w:val="center"/>
          </w:tcPr>
          <w:p w14:paraId="134F3F4A" w14:textId="0855EC7D" w:rsidR="00D64C38" w:rsidRDefault="00D64C38" w:rsidP="00D64C38">
            <w:pPr>
              <w:jc w:val="center"/>
            </w:pPr>
            <w:r w:rsidRPr="004E2878">
              <w:rPr>
                <w:noProof/>
              </w:rPr>
              <w:t>0.6%</w:t>
            </w:r>
          </w:p>
        </w:tc>
        <w:tc>
          <w:tcPr>
            <w:tcW w:w="1171" w:type="dxa"/>
            <w:vAlign w:val="center"/>
          </w:tcPr>
          <w:p w14:paraId="623BB6B9" w14:textId="19CE06BD" w:rsidR="00D64C38" w:rsidRDefault="00D64C38" w:rsidP="00D64C38">
            <w:pPr>
              <w:jc w:val="center"/>
            </w:pPr>
            <w:r w:rsidRPr="004E2878">
              <w:rPr>
                <w:noProof/>
              </w:rPr>
              <w:t>1</w:t>
            </w:r>
          </w:p>
        </w:tc>
      </w:tr>
      <w:tr w:rsidR="00D64C38" w14:paraId="52B4CE43" w14:textId="77777777" w:rsidTr="00D64C38">
        <w:trPr>
          <w:trHeight w:val="292"/>
          <w:tblHeader/>
          <w:jc w:val="center"/>
        </w:trPr>
        <w:tc>
          <w:tcPr>
            <w:tcW w:w="4306" w:type="dxa"/>
          </w:tcPr>
          <w:p w14:paraId="2C61C57C" w14:textId="418F1B3E" w:rsidR="00D64C38" w:rsidRDefault="00D64C38" w:rsidP="00D64C38">
            <w:r w:rsidRPr="004E2878">
              <w:rPr>
                <w:noProof/>
              </w:rPr>
              <w:t>Philadelphia</w:t>
            </w:r>
          </w:p>
        </w:tc>
        <w:tc>
          <w:tcPr>
            <w:tcW w:w="1337" w:type="dxa"/>
            <w:vAlign w:val="center"/>
          </w:tcPr>
          <w:p w14:paraId="3DE201D6" w14:textId="635E2351" w:rsidR="00D64C38" w:rsidRDefault="00D64C38" w:rsidP="00D64C38">
            <w:pPr>
              <w:jc w:val="center"/>
            </w:pPr>
            <w:r w:rsidRPr="004E2878">
              <w:rPr>
                <w:noProof/>
              </w:rPr>
              <w:t>11.9%</w:t>
            </w:r>
          </w:p>
        </w:tc>
        <w:tc>
          <w:tcPr>
            <w:tcW w:w="1171" w:type="dxa"/>
            <w:vAlign w:val="center"/>
          </w:tcPr>
          <w:p w14:paraId="226D35C7" w14:textId="0FE54047" w:rsidR="00D64C38" w:rsidRDefault="00D64C38" w:rsidP="00D64C38">
            <w:pPr>
              <w:jc w:val="center"/>
            </w:pPr>
            <w:r w:rsidRPr="004E2878">
              <w:rPr>
                <w:noProof/>
              </w:rPr>
              <w:t>21</w:t>
            </w:r>
          </w:p>
        </w:tc>
      </w:tr>
      <w:tr w:rsidR="00D64C38" w14:paraId="37A7FA73" w14:textId="77777777" w:rsidTr="00D64C38">
        <w:trPr>
          <w:trHeight w:val="292"/>
          <w:tblHeader/>
          <w:jc w:val="center"/>
        </w:trPr>
        <w:tc>
          <w:tcPr>
            <w:tcW w:w="4306" w:type="dxa"/>
          </w:tcPr>
          <w:p w14:paraId="2BDAD960" w14:textId="2A14E49A" w:rsidR="00D64C38" w:rsidRDefault="00D64C38" w:rsidP="00D64C38">
            <w:r w:rsidRPr="004E2878">
              <w:rPr>
                <w:noProof/>
              </w:rPr>
              <w:t>Sullivan</w:t>
            </w:r>
          </w:p>
        </w:tc>
        <w:tc>
          <w:tcPr>
            <w:tcW w:w="1337" w:type="dxa"/>
            <w:vAlign w:val="center"/>
          </w:tcPr>
          <w:p w14:paraId="05D211CB" w14:textId="2D7DC533" w:rsidR="00D64C38" w:rsidRDefault="00D64C38" w:rsidP="00D64C38">
            <w:pPr>
              <w:jc w:val="center"/>
            </w:pPr>
            <w:r w:rsidRPr="004E2878">
              <w:rPr>
                <w:noProof/>
              </w:rPr>
              <w:t>0.6%</w:t>
            </w:r>
          </w:p>
        </w:tc>
        <w:tc>
          <w:tcPr>
            <w:tcW w:w="1171" w:type="dxa"/>
            <w:vAlign w:val="center"/>
          </w:tcPr>
          <w:p w14:paraId="67014B05" w14:textId="68DFADCD" w:rsidR="00D64C38" w:rsidRDefault="00D64C38" w:rsidP="00D64C38">
            <w:pPr>
              <w:jc w:val="center"/>
            </w:pPr>
            <w:r w:rsidRPr="004E2878">
              <w:rPr>
                <w:noProof/>
              </w:rPr>
              <w:t>1</w:t>
            </w:r>
          </w:p>
        </w:tc>
      </w:tr>
      <w:tr w:rsidR="00D64C38" w14:paraId="2F314F61" w14:textId="77777777" w:rsidTr="00D64C38">
        <w:trPr>
          <w:trHeight w:val="292"/>
          <w:tblHeader/>
          <w:jc w:val="center"/>
        </w:trPr>
        <w:tc>
          <w:tcPr>
            <w:tcW w:w="4306" w:type="dxa"/>
          </w:tcPr>
          <w:p w14:paraId="6EE33345" w14:textId="7E92C1EE" w:rsidR="00D64C38" w:rsidRDefault="00D64C38" w:rsidP="00D64C38">
            <w:r w:rsidRPr="004E2878">
              <w:rPr>
                <w:noProof/>
              </w:rPr>
              <w:t>Washington</w:t>
            </w:r>
          </w:p>
        </w:tc>
        <w:tc>
          <w:tcPr>
            <w:tcW w:w="1337" w:type="dxa"/>
            <w:vAlign w:val="center"/>
          </w:tcPr>
          <w:p w14:paraId="1D32C758" w14:textId="4D030926" w:rsidR="00D64C38" w:rsidRDefault="00D64C38" w:rsidP="00D64C38">
            <w:pPr>
              <w:jc w:val="center"/>
            </w:pPr>
            <w:r w:rsidRPr="004E2878">
              <w:rPr>
                <w:noProof/>
              </w:rPr>
              <w:t>1.7%</w:t>
            </w:r>
          </w:p>
        </w:tc>
        <w:tc>
          <w:tcPr>
            <w:tcW w:w="1171" w:type="dxa"/>
            <w:vAlign w:val="center"/>
          </w:tcPr>
          <w:p w14:paraId="40163663" w14:textId="681B84D7" w:rsidR="00D64C38" w:rsidRDefault="00D64C38" w:rsidP="00D64C38">
            <w:pPr>
              <w:jc w:val="center"/>
            </w:pPr>
            <w:r w:rsidRPr="004E2878">
              <w:rPr>
                <w:noProof/>
              </w:rPr>
              <w:t>3</w:t>
            </w:r>
          </w:p>
        </w:tc>
      </w:tr>
      <w:tr w:rsidR="00D64C38" w14:paraId="7D4A308F" w14:textId="77777777" w:rsidTr="00D64C38">
        <w:trPr>
          <w:trHeight w:val="292"/>
          <w:tblHeader/>
          <w:jc w:val="center"/>
        </w:trPr>
        <w:tc>
          <w:tcPr>
            <w:tcW w:w="4306" w:type="dxa"/>
          </w:tcPr>
          <w:p w14:paraId="79D460A0" w14:textId="5F26CD6E" w:rsidR="00D64C38" w:rsidRDefault="00D64C38" w:rsidP="00D64C38">
            <w:r w:rsidRPr="004E2878">
              <w:rPr>
                <w:noProof/>
              </w:rPr>
              <w:t>Westmoreland</w:t>
            </w:r>
          </w:p>
        </w:tc>
        <w:tc>
          <w:tcPr>
            <w:tcW w:w="1337" w:type="dxa"/>
            <w:vAlign w:val="center"/>
          </w:tcPr>
          <w:p w14:paraId="638BC1C0" w14:textId="0882C58F" w:rsidR="00D64C38" w:rsidRDefault="00D64C38" w:rsidP="00D64C38">
            <w:pPr>
              <w:jc w:val="center"/>
            </w:pPr>
            <w:r w:rsidRPr="004E2878">
              <w:rPr>
                <w:noProof/>
              </w:rPr>
              <w:t>15.3%</w:t>
            </w:r>
          </w:p>
        </w:tc>
        <w:tc>
          <w:tcPr>
            <w:tcW w:w="1171" w:type="dxa"/>
            <w:vAlign w:val="center"/>
          </w:tcPr>
          <w:p w14:paraId="0394C4AF" w14:textId="02C429B0" w:rsidR="00D64C38" w:rsidRDefault="00D64C38" w:rsidP="00D64C38">
            <w:pPr>
              <w:jc w:val="center"/>
            </w:pPr>
            <w:r w:rsidRPr="004E2878">
              <w:rPr>
                <w:noProof/>
              </w:rPr>
              <w:t>27</w:t>
            </w:r>
          </w:p>
        </w:tc>
      </w:tr>
      <w:tr w:rsidR="00D64C38" w14:paraId="16CAFC77" w14:textId="77777777" w:rsidTr="00D64C38">
        <w:trPr>
          <w:trHeight w:val="292"/>
          <w:tblHeader/>
          <w:jc w:val="center"/>
        </w:trPr>
        <w:tc>
          <w:tcPr>
            <w:tcW w:w="4306" w:type="dxa"/>
          </w:tcPr>
          <w:p w14:paraId="679A1495" w14:textId="6EA3EC78" w:rsidR="00D64C38" w:rsidRDefault="00D64C38" w:rsidP="00D64C38">
            <w:r w:rsidRPr="004E2878">
              <w:rPr>
                <w:noProof/>
              </w:rPr>
              <w:t>York</w:t>
            </w:r>
          </w:p>
        </w:tc>
        <w:tc>
          <w:tcPr>
            <w:tcW w:w="1337" w:type="dxa"/>
            <w:vAlign w:val="center"/>
          </w:tcPr>
          <w:p w14:paraId="1D1483E1" w14:textId="1BE1AEC2" w:rsidR="00D64C38" w:rsidRDefault="00D64C38" w:rsidP="00D64C38">
            <w:pPr>
              <w:jc w:val="center"/>
            </w:pPr>
            <w:r w:rsidRPr="004E2878">
              <w:rPr>
                <w:noProof/>
              </w:rPr>
              <w:t>1.1%</w:t>
            </w:r>
          </w:p>
        </w:tc>
        <w:tc>
          <w:tcPr>
            <w:tcW w:w="1171" w:type="dxa"/>
            <w:vAlign w:val="center"/>
          </w:tcPr>
          <w:p w14:paraId="371409DC" w14:textId="3A8008E6" w:rsidR="00D64C38" w:rsidRDefault="00D64C38" w:rsidP="00D64C38">
            <w:pPr>
              <w:jc w:val="center"/>
            </w:pPr>
            <w:r w:rsidRPr="004E2878">
              <w:rPr>
                <w:noProof/>
              </w:rPr>
              <w:t>2</w:t>
            </w:r>
          </w:p>
        </w:tc>
      </w:tr>
      <w:bookmarkEnd w:id="16"/>
    </w:tbl>
    <w:p w14:paraId="207BED0A" w14:textId="77777777" w:rsidR="00C42E1D" w:rsidRPr="00C42E1D" w:rsidRDefault="00C42E1D" w:rsidP="00C42E1D"/>
    <w:p w14:paraId="079D4AC4" w14:textId="77777777" w:rsidR="00923A15" w:rsidRPr="00923A15" w:rsidRDefault="00923A15" w:rsidP="00923A15"/>
    <w:sectPr w:rsidR="00923A15" w:rsidRPr="00923A15" w:rsidSect="003F428E">
      <w:footerReference w:type="default" r:id="rId3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C1CBA" w14:textId="77777777" w:rsidR="003E514B" w:rsidRDefault="003E514B" w:rsidP="00BD7CC9">
      <w:pPr>
        <w:spacing w:after="0" w:line="240" w:lineRule="auto"/>
      </w:pPr>
      <w:r>
        <w:separator/>
      </w:r>
    </w:p>
  </w:endnote>
  <w:endnote w:type="continuationSeparator" w:id="0">
    <w:p w14:paraId="48B733E5" w14:textId="77777777" w:rsidR="003E514B" w:rsidRDefault="003E514B" w:rsidP="00BD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91394"/>
      <w:docPartObj>
        <w:docPartGallery w:val="Page Numbers (Bottom of Page)"/>
        <w:docPartUnique/>
      </w:docPartObj>
    </w:sdtPr>
    <w:sdtEndPr/>
    <w:sdtContent>
      <w:sdt>
        <w:sdtPr>
          <w:id w:val="-1769616900"/>
          <w:docPartObj>
            <w:docPartGallery w:val="Page Numbers (Top of Page)"/>
            <w:docPartUnique/>
          </w:docPartObj>
        </w:sdtPr>
        <w:sdtEndPr/>
        <w:sdtContent>
          <w:p w14:paraId="608662DC" w14:textId="679027FE" w:rsidR="00DC467F" w:rsidRDefault="00DC467F" w:rsidP="00EB37E1">
            <w:pPr>
              <w:pStyle w:val="Footer"/>
              <w:jc w:val="right"/>
            </w:pPr>
            <w:r>
              <w:t xml:space="preserve">Pennsylvanians with Disabilities and Access and Functional Needs </w:t>
            </w:r>
            <w:r>
              <w:tab/>
              <w:t xml:space="preserve">Page </w:t>
            </w:r>
            <w:r>
              <w:rPr>
                <w:b/>
                <w:bCs/>
                <w:szCs w:val="24"/>
              </w:rPr>
              <w:fldChar w:fldCharType="begin"/>
            </w:r>
            <w:r>
              <w:rPr>
                <w:b/>
                <w:bCs/>
              </w:rPr>
              <w:instrText xml:space="preserve"> PAGE </w:instrText>
            </w:r>
            <w:r>
              <w:rPr>
                <w:b/>
                <w:bCs/>
                <w:szCs w:val="24"/>
              </w:rPr>
              <w:fldChar w:fldCharType="separate"/>
            </w:r>
            <w:r w:rsidR="006C604C">
              <w:rPr>
                <w:b/>
                <w:bCs/>
                <w:noProof/>
              </w:rPr>
              <w:t>23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C604C">
              <w:rPr>
                <w:b/>
                <w:bCs/>
                <w:noProof/>
              </w:rPr>
              <w:t>29</w:t>
            </w:r>
            <w:r>
              <w:rPr>
                <w:b/>
                <w:bCs/>
                <w:szCs w:val="24"/>
              </w:rPr>
              <w:fldChar w:fldCharType="end"/>
            </w:r>
          </w:p>
        </w:sdtContent>
      </w:sdt>
    </w:sdtContent>
  </w:sdt>
  <w:p w14:paraId="1E8B74FB" w14:textId="77777777" w:rsidR="00DC467F" w:rsidRDefault="00DC4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ECAD3" w14:textId="77777777" w:rsidR="003E514B" w:rsidRDefault="003E514B" w:rsidP="00BD7CC9">
      <w:pPr>
        <w:spacing w:after="0" w:line="240" w:lineRule="auto"/>
      </w:pPr>
      <w:r>
        <w:separator/>
      </w:r>
    </w:p>
  </w:footnote>
  <w:footnote w:type="continuationSeparator" w:id="0">
    <w:p w14:paraId="63E78A57" w14:textId="77777777" w:rsidR="003E514B" w:rsidRDefault="003E514B" w:rsidP="00BD7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27AAF"/>
    <w:multiLevelType w:val="hybridMultilevel"/>
    <w:tmpl w:val="6256F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43F2C"/>
    <w:multiLevelType w:val="hybridMultilevel"/>
    <w:tmpl w:val="57DA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93"/>
    <w:rsid w:val="00025609"/>
    <w:rsid w:val="00026568"/>
    <w:rsid w:val="00040A19"/>
    <w:rsid w:val="00041EE7"/>
    <w:rsid w:val="00050FA1"/>
    <w:rsid w:val="0005644D"/>
    <w:rsid w:val="00080A36"/>
    <w:rsid w:val="00082B88"/>
    <w:rsid w:val="00087256"/>
    <w:rsid w:val="00087836"/>
    <w:rsid w:val="00090D08"/>
    <w:rsid w:val="000A27B3"/>
    <w:rsid w:val="000A4F8E"/>
    <w:rsid w:val="000A73D9"/>
    <w:rsid w:val="000B06C8"/>
    <w:rsid w:val="000C5AEB"/>
    <w:rsid w:val="000C7AC8"/>
    <w:rsid w:val="000D7A6E"/>
    <w:rsid w:val="0010589D"/>
    <w:rsid w:val="00117B09"/>
    <w:rsid w:val="00122F3F"/>
    <w:rsid w:val="001302F7"/>
    <w:rsid w:val="00130EC8"/>
    <w:rsid w:val="00134E98"/>
    <w:rsid w:val="00136177"/>
    <w:rsid w:val="00142BCF"/>
    <w:rsid w:val="00165CCD"/>
    <w:rsid w:val="00166E81"/>
    <w:rsid w:val="0018243D"/>
    <w:rsid w:val="001C01DB"/>
    <w:rsid w:val="001C0D75"/>
    <w:rsid w:val="001C2810"/>
    <w:rsid w:val="001C4FD3"/>
    <w:rsid w:val="001E1D4E"/>
    <w:rsid w:val="001E3544"/>
    <w:rsid w:val="001E7C4D"/>
    <w:rsid w:val="001F2898"/>
    <w:rsid w:val="001F382B"/>
    <w:rsid w:val="002118E5"/>
    <w:rsid w:val="0021699C"/>
    <w:rsid w:val="00251948"/>
    <w:rsid w:val="00255FE1"/>
    <w:rsid w:val="002571C8"/>
    <w:rsid w:val="00262BD5"/>
    <w:rsid w:val="0026427F"/>
    <w:rsid w:val="00281458"/>
    <w:rsid w:val="002830CE"/>
    <w:rsid w:val="002929D2"/>
    <w:rsid w:val="002A1617"/>
    <w:rsid w:val="002A4160"/>
    <w:rsid w:val="002C0B53"/>
    <w:rsid w:val="002E7B31"/>
    <w:rsid w:val="002F4439"/>
    <w:rsid w:val="003011A9"/>
    <w:rsid w:val="00301B61"/>
    <w:rsid w:val="00310356"/>
    <w:rsid w:val="0032746F"/>
    <w:rsid w:val="00331288"/>
    <w:rsid w:val="003409C3"/>
    <w:rsid w:val="00350D8A"/>
    <w:rsid w:val="00361750"/>
    <w:rsid w:val="00364399"/>
    <w:rsid w:val="003679EF"/>
    <w:rsid w:val="003761B2"/>
    <w:rsid w:val="003775E2"/>
    <w:rsid w:val="00381DFA"/>
    <w:rsid w:val="00397412"/>
    <w:rsid w:val="003A4B41"/>
    <w:rsid w:val="003B4143"/>
    <w:rsid w:val="003B46EB"/>
    <w:rsid w:val="003B5567"/>
    <w:rsid w:val="003E514B"/>
    <w:rsid w:val="003F428E"/>
    <w:rsid w:val="003F6116"/>
    <w:rsid w:val="003F7121"/>
    <w:rsid w:val="0040278A"/>
    <w:rsid w:val="00413D89"/>
    <w:rsid w:val="0041575B"/>
    <w:rsid w:val="00420DE7"/>
    <w:rsid w:val="004248F8"/>
    <w:rsid w:val="00435CB0"/>
    <w:rsid w:val="00455F27"/>
    <w:rsid w:val="00476812"/>
    <w:rsid w:val="00484A0F"/>
    <w:rsid w:val="004C3215"/>
    <w:rsid w:val="004C5DC6"/>
    <w:rsid w:val="004D00EC"/>
    <w:rsid w:val="004D70DA"/>
    <w:rsid w:val="004F233D"/>
    <w:rsid w:val="004F5CC0"/>
    <w:rsid w:val="005030E2"/>
    <w:rsid w:val="0052208B"/>
    <w:rsid w:val="00522E29"/>
    <w:rsid w:val="00523A75"/>
    <w:rsid w:val="00530CA4"/>
    <w:rsid w:val="00534823"/>
    <w:rsid w:val="0053494F"/>
    <w:rsid w:val="005419F2"/>
    <w:rsid w:val="0057098F"/>
    <w:rsid w:val="00570DD8"/>
    <w:rsid w:val="00574DFE"/>
    <w:rsid w:val="005A31A4"/>
    <w:rsid w:val="005B50A8"/>
    <w:rsid w:val="005B6EE8"/>
    <w:rsid w:val="005C04D2"/>
    <w:rsid w:val="005F51CF"/>
    <w:rsid w:val="005F71CD"/>
    <w:rsid w:val="00631C9B"/>
    <w:rsid w:val="006368D5"/>
    <w:rsid w:val="00641EEC"/>
    <w:rsid w:val="006420E8"/>
    <w:rsid w:val="006455FB"/>
    <w:rsid w:val="00646E6D"/>
    <w:rsid w:val="006609D6"/>
    <w:rsid w:val="006636C4"/>
    <w:rsid w:val="0066552A"/>
    <w:rsid w:val="00687E5B"/>
    <w:rsid w:val="006A0EB9"/>
    <w:rsid w:val="006A0F8F"/>
    <w:rsid w:val="006A4B89"/>
    <w:rsid w:val="006A4FC5"/>
    <w:rsid w:val="006C3A30"/>
    <w:rsid w:val="006C604C"/>
    <w:rsid w:val="006D1DC9"/>
    <w:rsid w:val="006D409C"/>
    <w:rsid w:val="006D5493"/>
    <w:rsid w:val="006D60D6"/>
    <w:rsid w:val="006F058C"/>
    <w:rsid w:val="006F12FD"/>
    <w:rsid w:val="007005AD"/>
    <w:rsid w:val="00705E3A"/>
    <w:rsid w:val="00721C76"/>
    <w:rsid w:val="00735CDF"/>
    <w:rsid w:val="0075184C"/>
    <w:rsid w:val="00755883"/>
    <w:rsid w:val="0075662C"/>
    <w:rsid w:val="007646DE"/>
    <w:rsid w:val="0076553C"/>
    <w:rsid w:val="007745FE"/>
    <w:rsid w:val="00780C73"/>
    <w:rsid w:val="00792514"/>
    <w:rsid w:val="00795545"/>
    <w:rsid w:val="007957A1"/>
    <w:rsid w:val="007967E0"/>
    <w:rsid w:val="007B0787"/>
    <w:rsid w:val="007B5FA9"/>
    <w:rsid w:val="007D091E"/>
    <w:rsid w:val="007E1E5F"/>
    <w:rsid w:val="007E75E9"/>
    <w:rsid w:val="008005AB"/>
    <w:rsid w:val="00801B17"/>
    <w:rsid w:val="00805AB1"/>
    <w:rsid w:val="00820EDE"/>
    <w:rsid w:val="00841691"/>
    <w:rsid w:val="00842736"/>
    <w:rsid w:val="00854EE2"/>
    <w:rsid w:val="00855B1C"/>
    <w:rsid w:val="00893447"/>
    <w:rsid w:val="008A170D"/>
    <w:rsid w:val="008B3914"/>
    <w:rsid w:val="008C2036"/>
    <w:rsid w:val="008C74EF"/>
    <w:rsid w:val="008D4AF0"/>
    <w:rsid w:val="008E08D7"/>
    <w:rsid w:val="008F3A8D"/>
    <w:rsid w:val="00905336"/>
    <w:rsid w:val="00911282"/>
    <w:rsid w:val="00911C11"/>
    <w:rsid w:val="00913AA8"/>
    <w:rsid w:val="00923A15"/>
    <w:rsid w:val="00942EFF"/>
    <w:rsid w:val="00947A97"/>
    <w:rsid w:val="0096283E"/>
    <w:rsid w:val="0097258F"/>
    <w:rsid w:val="00980251"/>
    <w:rsid w:val="00985047"/>
    <w:rsid w:val="009B0A75"/>
    <w:rsid w:val="009B6532"/>
    <w:rsid w:val="009C3155"/>
    <w:rsid w:val="009C6194"/>
    <w:rsid w:val="009C78B7"/>
    <w:rsid w:val="009D0C24"/>
    <w:rsid w:val="009F1209"/>
    <w:rsid w:val="009F2E38"/>
    <w:rsid w:val="009F74F9"/>
    <w:rsid w:val="00A00967"/>
    <w:rsid w:val="00A06BF7"/>
    <w:rsid w:val="00A11AAE"/>
    <w:rsid w:val="00A1357A"/>
    <w:rsid w:val="00A14221"/>
    <w:rsid w:val="00A175D7"/>
    <w:rsid w:val="00A311BD"/>
    <w:rsid w:val="00A33F93"/>
    <w:rsid w:val="00A67B8E"/>
    <w:rsid w:val="00A81250"/>
    <w:rsid w:val="00A82DD1"/>
    <w:rsid w:val="00A85178"/>
    <w:rsid w:val="00A96991"/>
    <w:rsid w:val="00AA1EA1"/>
    <w:rsid w:val="00AA76E5"/>
    <w:rsid w:val="00AB7F54"/>
    <w:rsid w:val="00AC07DD"/>
    <w:rsid w:val="00AD4F12"/>
    <w:rsid w:val="00AD7352"/>
    <w:rsid w:val="00AE08B5"/>
    <w:rsid w:val="00AF1FD9"/>
    <w:rsid w:val="00B0273F"/>
    <w:rsid w:val="00B04052"/>
    <w:rsid w:val="00B12FB7"/>
    <w:rsid w:val="00B24122"/>
    <w:rsid w:val="00B25C95"/>
    <w:rsid w:val="00B312F0"/>
    <w:rsid w:val="00B3755E"/>
    <w:rsid w:val="00B52BBF"/>
    <w:rsid w:val="00B55EAE"/>
    <w:rsid w:val="00B615B7"/>
    <w:rsid w:val="00B77079"/>
    <w:rsid w:val="00B8052C"/>
    <w:rsid w:val="00B8759C"/>
    <w:rsid w:val="00BC1B0F"/>
    <w:rsid w:val="00BC53F3"/>
    <w:rsid w:val="00BD618B"/>
    <w:rsid w:val="00BD7CC9"/>
    <w:rsid w:val="00BD7FC1"/>
    <w:rsid w:val="00BE76B3"/>
    <w:rsid w:val="00C07962"/>
    <w:rsid w:val="00C1011D"/>
    <w:rsid w:val="00C219FE"/>
    <w:rsid w:val="00C34BBC"/>
    <w:rsid w:val="00C40893"/>
    <w:rsid w:val="00C42E1D"/>
    <w:rsid w:val="00C43D31"/>
    <w:rsid w:val="00C62EBB"/>
    <w:rsid w:val="00C855B9"/>
    <w:rsid w:val="00C957C3"/>
    <w:rsid w:val="00CA76CD"/>
    <w:rsid w:val="00CC3C03"/>
    <w:rsid w:val="00CD2B3F"/>
    <w:rsid w:val="00CE7017"/>
    <w:rsid w:val="00D064AD"/>
    <w:rsid w:val="00D06F8E"/>
    <w:rsid w:val="00D21FFD"/>
    <w:rsid w:val="00D23E26"/>
    <w:rsid w:val="00D3270C"/>
    <w:rsid w:val="00D64C38"/>
    <w:rsid w:val="00D65E74"/>
    <w:rsid w:val="00D70C0A"/>
    <w:rsid w:val="00D715BE"/>
    <w:rsid w:val="00D76A9E"/>
    <w:rsid w:val="00D83897"/>
    <w:rsid w:val="00D930FD"/>
    <w:rsid w:val="00DA0C6E"/>
    <w:rsid w:val="00DB4773"/>
    <w:rsid w:val="00DC467F"/>
    <w:rsid w:val="00DD16DB"/>
    <w:rsid w:val="00DE7AC9"/>
    <w:rsid w:val="00DF71C9"/>
    <w:rsid w:val="00E121AE"/>
    <w:rsid w:val="00E16F66"/>
    <w:rsid w:val="00E21219"/>
    <w:rsid w:val="00E23E6E"/>
    <w:rsid w:val="00E2562E"/>
    <w:rsid w:val="00E35AE5"/>
    <w:rsid w:val="00E404FA"/>
    <w:rsid w:val="00E467FB"/>
    <w:rsid w:val="00E53610"/>
    <w:rsid w:val="00E95D93"/>
    <w:rsid w:val="00EA1D60"/>
    <w:rsid w:val="00EA73FC"/>
    <w:rsid w:val="00EB37E1"/>
    <w:rsid w:val="00EB4FF8"/>
    <w:rsid w:val="00EB6639"/>
    <w:rsid w:val="00EE4D4D"/>
    <w:rsid w:val="00EE73DC"/>
    <w:rsid w:val="00F02371"/>
    <w:rsid w:val="00F02AC7"/>
    <w:rsid w:val="00F2387D"/>
    <w:rsid w:val="00F306DC"/>
    <w:rsid w:val="00F322D2"/>
    <w:rsid w:val="00F324F7"/>
    <w:rsid w:val="00F42937"/>
    <w:rsid w:val="00F4400A"/>
    <w:rsid w:val="00F467CC"/>
    <w:rsid w:val="00F47196"/>
    <w:rsid w:val="00F478AF"/>
    <w:rsid w:val="00F537E1"/>
    <w:rsid w:val="00F54123"/>
    <w:rsid w:val="00F54E80"/>
    <w:rsid w:val="00F55D4D"/>
    <w:rsid w:val="00F67BD4"/>
    <w:rsid w:val="00F95A3C"/>
    <w:rsid w:val="00F9618C"/>
    <w:rsid w:val="00FB19C4"/>
    <w:rsid w:val="00FB44AF"/>
    <w:rsid w:val="00FC3687"/>
    <w:rsid w:val="00FD61D2"/>
    <w:rsid w:val="00FF1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1D9457"/>
  <w15:docId w15:val="{AD282D32-BA3A-46BF-BE89-830B351F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16"/>
    <w:rPr>
      <w:sz w:val="24"/>
    </w:rPr>
  </w:style>
  <w:style w:type="paragraph" w:styleId="Heading1">
    <w:name w:val="heading 1"/>
    <w:basedOn w:val="Normal"/>
    <w:next w:val="Normal"/>
    <w:link w:val="Heading1Char"/>
    <w:uiPriority w:val="9"/>
    <w:qFormat/>
    <w:rsid w:val="003F428E"/>
    <w:pPr>
      <w:keepNext/>
      <w:keepLines/>
      <w:spacing w:after="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324F7"/>
    <w:pPr>
      <w:keepNext/>
      <w:keepLines/>
      <w:spacing w:before="40" w:after="240"/>
      <w:jc w:val="center"/>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A11AAE"/>
    <w:pPr>
      <w:keepNext/>
      <w:keepLines/>
      <w:spacing w:before="200" w:after="20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A11AAE"/>
    <w:pPr>
      <w:keepNext/>
      <w:keepLines/>
      <w:spacing w:before="200" w:after="200"/>
      <w:ind w:left="72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28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324F7"/>
    <w:rPr>
      <w:rFonts w:asciiTheme="majorHAnsi" w:eastAsiaTheme="majorEastAsia" w:hAnsiTheme="majorHAnsi" w:cstheme="majorBidi"/>
      <w:b/>
      <w:sz w:val="28"/>
      <w:szCs w:val="26"/>
    </w:rPr>
  </w:style>
  <w:style w:type="character" w:styleId="CommentReference">
    <w:name w:val="annotation reference"/>
    <w:basedOn w:val="DefaultParagraphFont"/>
    <w:uiPriority w:val="99"/>
    <w:semiHidden/>
    <w:unhideWhenUsed/>
    <w:rsid w:val="006D5493"/>
    <w:rPr>
      <w:sz w:val="16"/>
      <w:szCs w:val="16"/>
    </w:rPr>
  </w:style>
  <w:style w:type="paragraph" w:styleId="CommentText">
    <w:name w:val="annotation text"/>
    <w:basedOn w:val="Normal"/>
    <w:link w:val="CommentTextChar"/>
    <w:uiPriority w:val="99"/>
    <w:semiHidden/>
    <w:unhideWhenUsed/>
    <w:rsid w:val="006D5493"/>
    <w:pPr>
      <w:spacing w:line="240" w:lineRule="auto"/>
    </w:pPr>
    <w:rPr>
      <w:sz w:val="20"/>
      <w:szCs w:val="20"/>
    </w:rPr>
  </w:style>
  <w:style w:type="character" w:customStyle="1" w:styleId="CommentTextChar">
    <w:name w:val="Comment Text Char"/>
    <w:basedOn w:val="DefaultParagraphFont"/>
    <w:link w:val="CommentText"/>
    <w:uiPriority w:val="99"/>
    <w:semiHidden/>
    <w:rsid w:val="006D5493"/>
    <w:rPr>
      <w:sz w:val="20"/>
      <w:szCs w:val="20"/>
    </w:rPr>
  </w:style>
  <w:style w:type="paragraph" w:styleId="BalloonText">
    <w:name w:val="Balloon Text"/>
    <w:basedOn w:val="Normal"/>
    <w:link w:val="BalloonTextChar"/>
    <w:uiPriority w:val="99"/>
    <w:semiHidden/>
    <w:unhideWhenUsed/>
    <w:rsid w:val="006D5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93"/>
    <w:rPr>
      <w:rFonts w:ascii="Segoe UI" w:hAnsi="Segoe UI" w:cs="Segoe UI"/>
      <w:sz w:val="18"/>
      <w:szCs w:val="18"/>
    </w:rPr>
  </w:style>
  <w:style w:type="paragraph" w:styleId="Caption">
    <w:name w:val="caption"/>
    <w:basedOn w:val="Normal"/>
    <w:next w:val="Normal"/>
    <w:uiPriority w:val="35"/>
    <w:unhideWhenUsed/>
    <w:qFormat/>
    <w:rsid w:val="00801B17"/>
    <w:pPr>
      <w:spacing w:before="200" w:after="200" w:line="240" w:lineRule="auto"/>
    </w:pPr>
    <w:rPr>
      <w:i/>
      <w:iCs/>
      <w:color w:val="44546A" w:themeColor="text2"/>
      <w:szCs w:val="18"/>
    </w:rPr>
  </w:style>
  <w:style w:type="paragraph" w:styleId="Title">
    <w:name w:val="Title"/>
    <w:basedOn w:val="Normal"/>
    <w:next w:val="Normal"/>
    <w:link w:val="TitleChar"/>
    <w:uiPriority w:val="10"/>
    <w:qFormat/>
    <w:rsid w:val="003F428E"/>
    <w:pPr>
      <w:spacing w:after="480" w:line="240" w:lineRule="auto"/>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3F428E"/>
    <w:rPr>
      <w:rFonts w:asciiTheme="majorHAnsi" w:eastAsiaTheme="majorEastAsia" w:hAnsiTheme="majorHAnsi" w:cstheme="majorBidi"/>
      <w:b/>
      <w:spacing w:val="-10"/>
      <w:kern w:val="28"/>
      <w:sz w:val="52"/>
      <w:szCs w:val="56"/>
    </w:rPr>
  </w:style>
  <w:style w:type="paragraph" w:styleId="Header">
    <w:name w:val="header"/>
    <w:basedOn w:val="Normal"/>
    <w:link w:val="HeaderChar"/>
    <w:uiPriority w:val="99"/>
    <w:unhideWhenUsed/>
    <w:rsid w:val="00BD7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C9"/>
  </w:style>
  <w:style w:type="paragraph" w:styleId="Footer">
    <w:name w:val="footer"/>
    <w:basedOn w:val="Normal"/>
    <w:link w:val="FooterChar"/>
    <w:uiPriority w:val="99"/>
    <w:unhideWhenUsed/>
    <w:rsid w:val="00BD7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C9"/>
  </w:style>
  <w:style w:type="table" w:styleId="TableGrid">
    <w:name w:val="Table Grid"/>
    <w:basedOn w:val="TableNormal"/>
    <w:uiPriority w:val="39"/>
    <w:rsid w:val="0075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55EAE"/>
    <w:rPr>
      <w:i/>
      <w:iCs/>
    </w:rPr>
  </w:style>
  <w:style w:type="paragraph" w:styleId="CommentSubject">
    <w:name w:val="annotation subject"/>
    <w:basedOn w:val="CommentText"/>
    <w:next w:val="CommentText"/>
    <w:link w:val="CommentSubjectChar"/>
    <w:uiPriority w:val="99"/>
    <w:semiHidden/>
    <w:unhideWhenUsed/>
    <w:rsid w:val="006609D6"/>
    <w:rPr>
      <w:b/>
      <w:bCs/>
    </w:rPr>
  </w:style>
  <w:style w:type="character" w:customStyle="1" w:styleId="CommentSubjectChar">
    <w:name w:val="Comment Subject Char"/>
    <w:basedOn w:val="CommentTextChar"/>
    <w:link w:val="CommentSubject"/>
    <w:uiPriority w:val="99"/>
    <w:semiHidden/>
    <w:rsid w:val="006609D6"/>
    <w:rPr>
      <w:b/>
      <w:bCs/>
      <w:sz w:val="20"/>
      <w:szCs w:val="20"/>
    </w:rPr>
  </w:style>
  <w:style w:type="paragraph" w:styleId="ListParagraph">
    <w:name w:val="List Paragraph"/>
    <w:basedOn w:val="Normal"/>
    <w:uiPriority w:val="34"/>
    <w:qFormat/>
    <w:rsid w:val="00923A15"/>
    <w:pPr>
      <w:ind w:left="720"/>
      <w:contextualSpacing/>
    </w:pPr>
  </w:style>
  <w:style w:type="character" w:styleId="Hyperlink">
    <w:name w:val="Hyperlink"/>
    <w:basedOn w:val="DefaultParagraphFont"/>
    <w:uiPriority w:val="99"/>
    <w:unhideWhenUsed/>
    <w:rsid w:val="00455F27"/>
    <w:rPr>
      <w:color w:val="0563C1" w:themeColor="hyperlink"/>
      <w:u w:val="single"/>
    </w:rPr>
  </w:style>
  <w:style w:type="character" w:styleId="FollowedHyperlink">
    <w:name w:val="FollowedHyperlink"/>
    <w:basedOn w:val="DefaultParagraphFont"/>
    <w:uiPriority w:val="99"/>
    <w:semiHidden/>
    <w:unhideWhenUsed/>
    <w:rsid w:val="00B615B7"/>
    <w:rPr>
      <w:color w:val="954F72" w:themeColor="followedHyperlink"/>
      <w:u w:val="single"/>
    </w:rPr>
  </w:style>
  <w:style w:type="character" w:customStyle="1" w:styleId="Heading3Char">
    <w:name w:val="Heading 3 Char"/>
    <w:basedOn w:val="DefaultParagraphFont"/>
    <w:link w:val="Heading3"/>
    <w:uiPriority w:val="9"/>
    <w:rsid w:val="00A11AAE"/>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rsid w:val="00A11AAE"/>
    <w:rPr>
      <w:rFonts w:asciiTheme="majorHAnsi" w:eastAsiaTheme="majorEastAsia" w:hAnsiTheme="majorHAnsi" w:cstheme="majorBidi"/>
      <w:bCs/>
      <w:iCs/>
      <w:sz w:val="24"/>
    </w:rPr>
  </w:style>
  <w:style w:type="paragraph" w:customStyle="1" w:styleId="Normal2">
    <w:name w:val="Normal 2"/>
    <w:basedOn w:val="Normal"/>
    <w:qFormat/>
    <w:rsid w:val="000A73D9"/>
    <w:pPr>
      <w:ind w:left="720"/>
    </w:pPr>
  </w:style>
  <w:style w:type="paragraph" w:styleId="TOCHeading">
    <w:name w:val="TOC Heading"/>
    <w:basedOn w:val="Heading1"/>
    <w:next w:val="Normal"/>
    <w:uiPriority w:val="39"/>
    <w:unhideWhenUsed/>
    <w:qFormat/>
    <w:rsid w:val="003F428E"/>
    <w:pPr>
      <w:jc w:val="left"/>
      <w:outlineLvl w:val="9"/>
    </w:pPr>
    <w:rPr>
      <w:b w:val="0"/>
    </w:rPr>
  </w:style>
  <w:style w:type="paragraph" w:styleId="TOC1">
    <w:name w:val="toc 1"/>
    <w:basedOn w:val="Normal"/>
    <w:next w:val="Normal"/>
    <w:autoRedefine/>
    <w:uiPriority w:val="39"/>
    <w:unhideWhenUsed/>
    <w:rsid w:val="00B25C95"/>
    <w:pPr>
      <w:tabs>
        <w:tab w:val="right" w:leader="dot" w:pos="9350"/>
      </w:tabs>
      <w:spacing w:after="100"/>
    </w:pPr>
    <w:rPr>
      <w:b/>
      <w:noProof/>
    </w:rPr>
  </w:style>
  <w:style w:type="paragraph" w:styleId="TOC2">
    <w:name w:val="toc 2"/>
    <w:basedOn w:val="Normal"/>
    <w:next w:val="Normal"/>
    <w:autoRedefine/>
    <w:uiPriority w:val="39"/>
    <w:unhideWhenUsed/>
    <w:rsid w:val="00B25C95"/>
    <w:pPr>
      <w:tabs>
        <w:tab w:val="right" w:leader="dot" w:pos="9350"/>
      </w:tabs>
      <w:spacing w:after="100"/>
      <w:ind w:left="240"/>
    </w:pPr>
    <w:rPr>
      <w:b/>
      <w:noProof/>
    </w:rPr>
  </w:style>
  <w:style w:type="paragraph" w:styleId="TOC3">
    <w:name w:val="toc 3"/>
    <w:basedOn w:val="Normal"/>
    <w:next w:val="Normal"/>
    <w:autoRedefine/>
    <w:uiPriority w:val="39"/>
    <w:unhideWhenUsed/>
    <w:rsid w:val="00B25C95"/>
    <w:pPr>
      <w:spacing w:after="100"/>
      <w:ind w:left="480"/>
    </w:pPr>
  </w:style>
  <w:style w:type="paragraph" w:styleId="NoSpacing">
    <w:name w:val="No Spacing"/>
    <w:link w:val="NoSpacingChar"/>
    <w:uiPriority w:val="1"/>
    <w:qFormat/>
    <w:rsid w:val="00364399"/>
    <w:pPr>
      <w:spacing w:after="0" w:line="240" w:lineRule="auto"/>
    </w:pPr>
    <w:rPr>
      <w:rFonts w:eastAsiaTheme="minorEastAsia"/>
    </w:rPr>
  </w:style>
  <w:style w:type="character" w:customStyle="1" w:styleId="NoSpacingChar">
    <w:name w:val="No Spacing Char"/>
    <w:basedOn w:val="DefaultParagraphFont"/>
    <w:link w:val="NoSpacing"/>
    <w:uiPriority w:val="1"/>
    <w:rsid w:val="00364399"/>
    <w:rPr>
      <w:rFonts w:eastAsiaTheme="minorEastAsia"/>
    </w:rPr>
  </w:style>
  <w:style w:type="paragraph" w:styleId="Revision">
    <w:name w:val="Revision"/>
    <w:hidden/>
    <w:uiPriority w:val="99"/>
    <w:semiHidden/>
    <w:rsid w:val="00D21FF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able_6_ACO_Respondents_by_PA_County"/><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ncd.gov/publications/2014/05272014/"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disabilities.temple.edu/programs/epre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cdc.gov/brf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able_5_PWD_Respondents_by_PA_County"/><Relationship Id="rId24" Type="http://schemas.openxmlformats.org/officeDocument/2006/relationships/image" Target="media/image15.png"/><Relationship Id="rId32" Type="http://schemas.openxmlformats.org/officeDocument/2006/relationships/hyperlink" Target="https://www.ready.gov/individuals-access-functional-need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www.rural.palegislature.us/demographics_rural_urban.html" TargetMode="External"/><Relationship Id="rId36" Type="http://schemas.openxmlformats.org/officeDocument/2006/relationships/hyperlink" Target="http://www.phe.gov/empowermap/Pages/default.aspx"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www.fema.gov/media-library/assets/documents/903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redcross.org/get-help/prepare-for-emergencies/be-red-cross-ready" TargetMode="External"/><Relationship Id="rId30" Type="http://schemas.openxmlformats.org/officeDocument/2006/relationships/hyperlink" Target="http://www.ada.gov/effective-comm.htm" TargetMode="External"/><Relationship Id="rId35" Type="http://schemas.openxmlformats.org/officeDocument/2006/relationships/hyperlink" Target="http://www.phe.gov/Preparedness/planning/abc/Pages/atris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BC5D-0701-4676-B6FE-6F2C872B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6560</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Emergency Preparedness Survey: Pennsylvanians with Disabilities and Access and Functional Needs</vt:lpstr>
    </vt:vector>
  </TitlesOfParts>
  <Company/>
  <LinksUpToDate>false</LinksUpToDate>
  <CharactersWithSpaces>43865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Preparedness Survey: Pennsylvanians with Disabilities and Access and Functional Needs</dc:title>
  <dc:creator>Institute on Disabilities, Temple University</dc:creator>
  <cp:lastModifiedBy>Kevin S. Donley</cp:lastModifiedBy>
  <cp:revision>3</cp:revision>
  <dcterms:created xsi:type="dcterms:W3CDTF">2016-09-14T14:31:00Z</dcterms:created>
  <dcterms:modified xsi:type="dcterms:W3CDTF">2016-09-14T14:35:00Z</dcterms:modified>
</cp:coreProperties>
</file>